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Agrilus anxius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anxius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Agrilus gravis</w:t>
            </w:r>
            <w:r>
              <w:rPr>
                <w:rFonts w:ascii="Calibri" w:hAnsi="Calibri" w:eastAsia="Calibri" w:cs="Calibri"/>
                <w:color w:val="000000"/>
                <w:position w:val="-3"/>
                <w:sz w:val="22"/>
                <w:szCs w:val="22"/>
              </w:rPr>
              <w:t xml:space="preserve"> LeConte, </w:t>
            </w:r>
            <w:r>
              <w:rPr>
                <w:rFonts w:ascii="Calibri" w:hAnsi="Calibri" w:eastAsia="Calibri" w:cs="Calibri"/>
                <w:i/>
                <w:iCs/>
                <w:color w:val="000000"/>
                <w:position w:val="-3"/>
                <w:sz w:val="22"/>
                <w:szCs w:val="22"/>
              </w:rPr>
              <w:t xml:space="preserve">Agrilus torpidus</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bronze birch borer</w:t>
            </w:r>
            <w:hyperlink r:id="rId245368049b36e31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7568049b36e31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AGRLAX</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700331" name="name619268049b36e3a98" descr="6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64.jpg"/>
                          <pic:cNvPicPr/>
                        </pic:nvPicPr>
                        <pic:blipFill>
                          <a:blip r:embed="rId287568049b36e3a94" cstate="print"/>
                          <a:stretch>
                            <a:fillRect/>
                          </a:stretch>
                        </pic:blipFill>
                        <pic:spPr>
                          <a:xfrm>
                            <a:off x="0" y="0"/>
                            <a:ext cx="2160000" cy="1281600"/>
                          </a:xfrm>
                          <a:prstGeom prst="rect">
                            <a:avLst/>
                          </a:prstGeom>
                          <a:ln w="0">
                            <a:noFill/>
                          </a:ln>
                        </pic:spPr>
                      </pic:pic>
                    </a:graphicData>
                  </a:graphic>
                </wp:inline>
              </w:drawing>
            </w:r>
            <w:hyperlink r:id="rId314668049b36e3c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1841 description of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by H. L. Gory included a second species that was first described by Barter and Brown (1949) as </w:t>
      </w:r>
      <w:r>
        <w:rPr>
          <w:rFonts w:ascii="Calibri" w:hAnsi="Calibri" w:eastAsia="Calibri" w:cs="Calibri"/>
          <w:i/>
          <w:iCs/>
          <w:color w:val="000000"/>
          <w:sz w:val="22"/>
          <w:szCs w:val="22"/>
        </w:rPr>
        <w:t xml:space="preserve">A. liragus</w:t>
      </w:r>
      <w:r>
        <w:rPr>
          <w:rFonts w:ascii="Calibri" w:hAnsi="Calibri" w:eastAsia="Calibri" w:cs="Calibri"/>
          <w:color w:val="000000"/>
          <w:sz w:val="22"/>
          <w:szCs w:val="22"/>
        </w:rPr>
        <w:t xml:space="preserve"> Barter &amp; Brown, and later as the subspecies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by Carlson and Knight (1969). The larval host plants of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include several species of</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a specialist on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Therefore, care must be taken when reading the literature on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prior to 1950 because it may include data for both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Although, if the host plant is given, readers can ascertain which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is being discussed.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host plants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trees in the genus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(birch). In North America, primary hosts are </w:t>
      </w:r>
      <w:r>
        <w:rPr>
          <w:rFonts w:ascii="Calibri" w:hAnsi="Calibri" w:eastAsia="Calibri" w:cs="Calibri"/>
          <w:i/>
          <w:iCs/>
          <w:color w:val="000000"/>
          <w:sz w:val="22"/>
          <w:szCs w:val="22"/>
        </w:rPr>
        <w:t xml:space="preserve">B. alleghaniensis, B.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lutea, B. occidentalis, B. papyrifera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B. populifolia </w:t>
      </w:r>
      <w:r>
        <w:rPr>
          <w:rFonts w:ascii="Calibri" w:hAnsi="Calibri" w:eastAsia="Calibri" w:cs="Calibri"/>
          <w:color w:val="000000"/>
          <w:sz w:val="22"/>
          <w:szCs w:val="22"/>
        </w:rPr>
        <w:t xml:space="preserve">(Balch &amp; Prebble, 1940; Ball &amp; Simmons, 1980; Santamour, 1999;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 When planted in North America, several European and Asian birch species are readily infested and killed by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B.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pendula, B. platyphylla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(Ball &amp; Simmons, 1980;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Muilenburg &amp; Herms,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albosinensis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dahurica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maximowicziana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 subsp. jacquemontii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is native to much of the boreal and north temperate regions of North America where birch occurs (Bright, 1987; Muilenburg &amp; Herms, 2012). Its current range has expanded into the Southern and Western United States as a result of widespread planting of birch species as ornamental trees (Duckles &amp; Svihra, 1995; Muilenburg &amp; Herms, 2012).</w:t>
      </w:r>
    </w:p>
    <w:p>
      <w:r>
        <w:drawing>
          <wp:inline distT="0" distB="0" distL="0" distR="0">
            <wp:extent cx="6120000" cy="3067200"/>
            <wp:docPr id="32745609" name="name682068049b36e5066" descr="AGRLAX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LAX_distribution_map.jpg"/>
                    <pic:cNvPicPr/>
                  </pic:nvPicPr>
                  <pic:blipFill>
                    <a:blip r:embed="rId344168049b36e50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United States of America (Alaska, Arizona, Arkansas, California, Colorado, Connecticut, Delaware, District of Columbia, Georgia, Idaho, Illinois, Indiana, Iowa, Kansas, Kentucky, Maine, Maryland, Massachusetts, Michigan, Minnesota, Missouri, Montana, Nebraska, Nevada, New Hampshire, New Jersey, New Mexico, New York, North Carolina, North Dakota, Ohio, Oregon, Pennsylvania, Rhode Island, South Carolina, South Dakota,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usually completes its life cycle in one year but occasionally two years are required, depending on latitude, climatic conditions, and host condition (Balch &amp; Prebble, 1940; Anderson,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In Ohio and Michigan, adult emergence usually begins at about 278 cumulative degree days (DD), using a base temperature of 10°C and a starting date of January 1 (Muilenburg &amp; Herms, 2012). Adult emergence generally occurs over 10–12 weeks, with peak emergence occurring about 2–4 weeks after first emergence (Barter, 1957; Akers &amp; Nielsen, 1984; Loerch &amp; Cameron, 1984). Adult emergence typically begins in May in Kentucky (Mussey &amp; Potter, 1997), May to June in Ohio and Michigan (Akers &amp; Nielsen, 1984; Muilenburg &amp; Herms, 2012), and late June to early July in New Brunswick, Canada (Balch &amp; Prebble, 1940; Barter, 1957). Individual adults live for 2–5 weeks (Akers &amp; Nielsen, 1990), which is typical of many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consume foliage throughout their lifetime (Barter, 1957; Akers &amp; Nielsen, 1990), which is common among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(Chamorro et al., 2015). Adults typically feed for about one week to become sexually mature (Rutledge &amp; Keena, 2019). Adults usually consume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foliage, but can survive and reproduce when fed foliage from other tree species under experimental conditions (Barter, 1957; Akers &amp; Nielsen, 1990). Adults feed mostly along the leaf margin and cause negligible damage to trees (Barter, 1957; Muilenburg &amp; Herms, 2012). No pheromone has yet been identified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Mate location is primarily visual (Rutledge &amp; Keena, 2019), with mating occurring on the trunk, branches, and foliage of birch trees. Adults typically pair for 7-11 minutes (Barter, 1957; Rutledge &amp; Keena,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singly or in clusters of up to 16 eggs, averaging 7 (Barter, 1957). Eggs are laid in bark crevices, cracks, and under loose layers of outer bark (Barter, 1957; Loerch &amp; Cameron, 1984). Under laboratory conditions (approximately 25°C, 65% RH, and 16:8 L:D h photoperiod), females lived an average of 30 days and laid 55 eggs each (Rutledge &amp; Keena, 2012). Eggs hatch in about 2 weeks (Barter, 1957).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tunnel directly through the outer bark into the underlying inner bark (phloem) tissue. There are 4 larval instars (Loerch &amp; Cameron, 1983a). Larvae construct galleries in the cambial region at the phloem-xylem interface, with total average gallery length varying between 41-85 cm based on host condition and birch species (Anderson, 1944). Larvae tunnel in the outer sapwood for short distances to molt (Barter, 1957). Larvae use their terminal processes (urogomphi) to pack frass tightly within their galleries (Carlson &amp; Knight, 1969). Larval galleries disrupt downward transport in phloem tissue and upward transport in the outer ring of xylem (sapwood), which at high densities and usually over multiple years can girdle and kill trees (Barter, 1957). All larval instars can overwinter (Barter, 1957). However, only pre-pupal larvae (4th instars that have completed feeding and constructed pupal cells by autumn) that overwinter and experience freezing temperatures will pupate the following spring (Barter, 1957). Upon completion of larval development, 4th instars construct pupal cells in the outer sapwood, generally during late summer or autumn (Barter, 1957; Loerch &amp; Cameron, 1984). Larvae that do not become final instars by autumn will overwinter in the cambial region, complete larval development the following summer, and then overwinter a second time before pupating.</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construct individual pupal cells that are about half their body length and pass the winter inside in a U- or J-shaped position (Carlson &amp; Knight, 1969). Pupation occurs in May-June in Michigan (Carlson &amp; Knight, 1969) and (Pennsylvania (Loerch &amp; Cameron, 1984).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chew D-shaped exit holes as they emerge that are 3–5 mm wide (Muilenburg &amp; Herms, 2012). Adult emergence usually occurs from May to the end of July (Barter, 1957; Akers &amp; Nielsen, 1984). Newly emerged adults have nearly a 1:1 sex ratio (Barter, 1957).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colonizes most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and cultivars, although host resistance varies with </w:t>
      </w:r>
      <w:r>
        <w:rPr>
          <w:rFonts w:ascii="Calibri" w:hAnsi="Calibri" w:eastAsia="Calibri" w:cs="Calibri"/>
          <w:i/>
          <w:iCs/>
          <w:color w:val="000000"/>
          <w:sz w:val="22"/>
          <w:szCs w:val="22"/>
        </w:rPr>
        <w:t xml:space="preserve">B. nigra </w:t>
      </w:r>
      <w:r>
        <w:rPr>
          <w:rFonts w:ascii="Calibri" w:hAnsi="Calibri" w:eastAsia="Calibri" w:cs="Calibri"/>
          <w:color w:val="000000"/>
          <w:sz w:val="22"/>
          <w:szCs w:val="22"/>
        </w:rPr>
        <w:t xml:space="preserve">appearing to be nearly immune to colonization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typically a secondary invader of  North American birch species (e.g. </w:t>
      </w:r>
      <w:r>
        <w:rPr>
          <w:rFonts w:ascii="Calibri" w:hAnsi="Calibri" w:eastAsia="Calibri" w:cs="Calibri"/>
          <w:i/>
          <w:iCs/>
          <w:color w:val="000000"/>
          <w:sz w:val="22"/>
          <w:szCs w:val="22"/>
        </w:rPr>
        <w:t xml:space="preserve">B. allegheniensis, B. lutea, B. papyrifera, B. populifolia </w:t>
      </w:r>
      <w:r>
        <w:rPr>
          <w:rFonts w:ascii="Calibri" w:hAnsi="Calibri" w:eastAsia="Calibri" w:cs="Calibri"/>
          <w:color w:val="000000"/>
          <w:sz w:val="22"/>
          <w:szCs w:val="22"/>
        </w:rPr>
        <w:t xml:space="preserve">) that have been stressed by drought, late spring frosts, old age, insect defoliation, soil compaction, and stem or root injury (Balch &amp; Prebble, 1944; Anderson, 1944; Barter, 1957; Muilenburg &amp; Herms, 2012; Haack &amp; Petrice, 2019). European and Asian birch species that have been studied are much more susceptible than North American 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example, in a 20-year common garden study in Ohio, USA, with a high number of replicates, bronze birch borer infestation caused complete mortality of Eurasian species (</w:t>
      </w:r>
      <w:r>
        <w:rPr>
          <w:rFonts w:ascii="Calibri" w:hAnsi="Calibri" w:eastAsia="Calibri" w:cs="Calibri"/>
          <w:i/>
          <w:iCs/>
          <w:color w:val="000000"/>
          <w:sz w:val="22"/>
          <w:szCs w:val="22"/>
        </w:rPr>
        <w:t xml:space="preserve">B. maximowicziana, B.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platyphylla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szechuanica, B. pubescens</w:t>
      </w:r>
      <w:r>
        <w:rPr>
          <w:rFonts w:ascii="Calibri" w:hAnsi="Calibri" w:eastAsia="Calibri" w:cs="Calibri"/>
          <w:color w:val="000000"/>
          <w:sz w:val="22"/>
          <w:szCs w:val="22"/>
        </w:rPr>
        <w:t xml:space="preserve">), but the majority of individuals (&gt;75%) of North American species (</w:t>
      </w:r>
      <w:r>
        <w:rPr>
          <w:rFonts w:ascii="Calibri" w:hAnsi="Calibri" w:eastAsia="Calibri" w:cs="Calibri"/>
          <w:i/>
          <w:iCs/>
          <w:color w:val="000000"/>
          <w:sz w:val="22"/>
          <w:szCs w:val="22"/>
        </w:rPr>
        <w:t xml:space="preserve">B. nigra, B. papyrifera, B. populifolia</w:t>
      </w:r>
      <w:r>
        <w:rPr>
          <w:rFonts w:ascii="Calibri" w:hAnsi="Calibri" w:eastAsia="Calibri" w:cs="Calibri"/>
          <w:color w:val="000000"/>
          <w:sz w:val="22"/>
          <w:szCs w:val="22"/>
        </w:rPr>
        <w:t xml:space="preserve">) were still alive at the end of the study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European and Asian birch species are highly susceptible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colonization even when not stressed (Muilenburg &amp; Herms, 2012).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birch trees of all sizes, with larvae being found in branches as small as 1 cm in diameter (Muilenburg &amp; Herms,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populations generally exist at endemic levels (Balch &amp; Prebble, 1940). However, periodic outbreaks have been reported during the past century, usually being associated with widespread drought and defoliation (Balch &amp; Prebble, 1940;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Houston, 1987; Muilenburg &amp; Herms, 2012; Haack &amp; Petrice,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have been infested or currently are infested with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will have one or more of the following signs or symptoms: D-shaped holes on the bark surface created by emerging adults, meandering or zig-zag larval galleries filled with frass at the phloem–xylem interface, or serpentine swellings or ridges visible through the outer bark where wound periderm (callus tissue) has grown over larval galleries (Anderson, 1944; Barter, 1957). Trees infested with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exhibit branch dieback, especially after multiple years of infestation, usually beginning with the upper crown branches (Ball &amp; Simmons, 1980). Branch dieback is usually preceded by yellowing and thinning of the foliage.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When developing survey protocols for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it is important to recall that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infests North American birch species when they are stressed, whereas it will infest both stressed and healthy Eurasian birch. Therefore, girdling individual North American birch trees usually increases the tree’s attractiveness to</w:t>
      </w:r>
      <w:r>
        <w:rPr>
          <w:rFonts w:ascii="Calibri" w:hAnsi="Calibri" w:eastAsia="Calibri" w:cs="Calibri"/>
          <w:i/>
          <w:iCs/>
          <w:color w:val="000000"/>
          <w:sz w:val="22"/>
          <w:szCs w:val="22"/>
        </w:rPr>
        <w:t xml:space="preserve"> A. anxius</w:t>
      </w:r>
      <w:r>
        <w:rPr>
          <w:rFonts w:ascii="Calibri" w:hAnsi="Calibri" w:eastAsia="Calibri" w:cs="Calibri"/>
          <w:color w:val="000000"/>
          <w:sz w:val="22"/>
          <w:szCs w:val="22"/>
        </w:rPr>
        <w:t xml:space="preserve"> adults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specific host compounds, or combination of compounds,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use to locate stressed trees is still unknown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adults have been collected on both green and purple traps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Rutledge, 2020; Silk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ground-nesting solitary wasps in the genus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which specialize in capturing buprestid adults, can be used as biosurveillance tools for many buprestids, including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(Kurczewski &amp; Miller, 1984; Swink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are creamy white when first laid, becoming more yellow as they mature (Barter, 1957). Eggs appear oval in shape, but flattened, and are 1.3 to 1.5 mm long and 0.8 to 1.0 mm wide (Barter, 1957; Carlson &amp; Knight. 1969). Females coat the eggs after deposition with a whitish substance that likely helps cement the eggs to the bark and prevent desiccation (Barter, 1957).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creamy white with a brown head and urogomphi. The body is dorsoventrally flattened. The head is small and protracted into the enlarged prothorax. There are 10 abdominal segments, with the last terminating in two sclerotized tooth-like structures that are often called urogomphi, anal forceps, or terminal processes (Carlson &amp; Knight, 1969; Loerch &amp; Cameron, 1983a;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Such terminal processes are characteristic of all known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larvae (Chamorro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is recognized as having four larval instars (Loerch &amp; Cameron, 1983a), although Barter (1957) reported five instars. Mature last-instar larvae measure 30-40 mm long (Barter, 1957; Carlson &amp; Knight, 1969).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takes place inside the cells that were constructed in the outer sapwood by the mature larvae prior to overwintering. The larva first contracts its body to about half its former length and then molts to the pupal stage (Barter, 1957). Pupae are creamy white at first, but as pupation progress the eyes darken first, then the mouthparts, and lastly the elytra, until the entire pupa becomes bronze to black (Barter, 1957; Carlson &amp; Knight, 1969). These colour changes are very similar to those seen for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as described in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narrow, subcylindrical with coppery-bronze metallic colouration. They are usually 6-11 mm long (Barter, 1957), but can vary between 5–13 mm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Males have a ventral groove on the first and second abdominal segments that is absent in females (Barter, 1957). Differences in aedeagus morphology are the most reliable characters to separate adult male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from the morphologically similar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granulatus liragus</w:t>
      </w:r>
      <w:r>
        <w:rPr>
          <w:rFonts w:ascii="Calibri" w:hAnsi="Calibri" w:eastAsia="Calibri" w:cs="Calibri"/>
          <w:color w:val="000000"/>
          <w:sz w:val="22"/>
          <w:szCs w:val="22"/>
        </w:rPr>
        <w:t xml:space="preserve">) (Barter &amp; Brown, 1949; Carlson &amp; Knight, 1969). Additionally,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22 chromosomes whereas </w:t>
      </w:r>
      <w:r>
        <w:rPr>
          <w:rFonts w:ascii="Calibri" w:hAnsi="Calibri" w:eastAsia="Calibri" w:cs="Calibri"/>
          <w:i/>
          <w:iCs/>
          <w:color w:val="000000"/>
          <w:sz w:val="22"/>
          <w:szCs w:val="22"/>
        </w:rPr>
        <w:t xml:space="preserve">A. liragus </w:t>
      </w:r>
      <w:r>
        <w:rPr>
          <w:rFonts w:ascii="Calibri" w:hAnsi="Calibri" w:eastAsia="Calibri" w:cs="Calibri"/>
          <w:color w:val="000000"/>
          <w:sz w:val="22"/>
          <w:szCs w:val="22"/>
        </w:rPr>
        <w:t xml:space="preserve">has 20 (Barter, 1957).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about natural dispersion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adults by flight. However, under laboratory conditions,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which is similar in size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can fly on average 1.3 km per day, with some individuals exceeding 7 km per day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Most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like many other bark- and wood-infesting insects, can be transported in live host plants or wood products such as logs, firewood, solid wood packaging, lumber, bark, and wood chips (Meurisse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example, during 1985-2000 there were 38 distinct interceptions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made at US ports of entry that originated from 11 countries, and of these 28 were from dunnage, 4 from crates, 5 from plants or plant parts, and 1 specimen was found loose in the ship hold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Haack, 2006).  Importation of wood chips from North America to Europe is a potential pathway for movement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species and other pests , especially when the chips are relatively large in size, untreated and stored outdoors in close proximity to susceptible host trees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Flø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is considered the most serious pest of birch trees in both forest and amenity plantings (Barter, 1957; Ball &amp; Simmons, 1980). In urban landscapes,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has caused widespread mortality of ornamental and street trees. In the northern hardwood and boreal forests of North America, periodic outbreaks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have also led to widespread mortality of birch, causing negative impacts on forest tree composition and wildlife (Balch &amp; Prebble, 1944;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Millers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Haack &amp; Petrice,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occur throughout most of Europe but are most common in the temperate and boreal forests of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birch are the most important commercial broadleaved species in Northern Europe, being used for pulpwood, fuel wood, lumber, plywood, and as amenity trees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and detection of this type of wood-boring insect is difficult. There are several insecticides (e.g. azadiractin, bifenthrin, dicrotophos, dimethoate, dinotefuran, emamectin benzoate, imidacloprid, permethrin) that have been shown to control </w:t>
      </w:r>
      <w:r>
        <w:rPr>
          <w:rFonts w:ascii="Calibri" w:hAnsi="Calibri" w:eastAsia="Calibri" w:cs="Calibri"/>
          <w:i/>
          <w:iCs/>
          <w:color w:val="000000"/>
          <w:sz w:val="22"/>
          <w:szCs w:val="22"/>
        </w:rPr>
        <w:t xml:space="preserve">Agrilus </w:t>
      </w:r>
      <w:r>
        <w:rPr>
          <w:rFonts w:ascii="Calibri" w:hAnsi="Calibri" w:eastAsia="Calibri" w:cs="Calibri"/>
          <w:color w:val="000000"/>
          <w:sz w:val="22"/>
          <w:szCs w:val="22"/>
        </w:rPr>
        <w:t xml:space="preserve">species to varying degrees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Petrice &amp; Haack, 2006; McKenzie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Smitley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They may be used in nurseries and on ornamental birch trees. Depending on the label, they can be applied as soil drenches, soil injections, trunk injections, lower trunk sprays, or cover sprays on the trunk, branches and foliage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systemic insecticide emamectin benzoate, which is applied as a trunk injection, has demonstrated 2-year control against both </w:t>
      </w:r>
      <w:r>
        <w:rPr>
          <w:rFonts w:ascii="Calibri" w:hAnsi="Calibri" w:eastAsia="Calibri" w:cs="Calibri"/>
          <w:i/>
          <w:iCs/>
          <w:color w:val="000000"/>
          <w:sz w:val="22"/>
          <w:szCs w:val="22"/>
        </w:rPr>
        <w:t xml:space="preserve">A. planipennis</w:t>
      </w:r>
      <w:r>
        <w:rPr>
          <w:rFonts w:ascii="Calibri" w:hAnsi="Calibri" w:eastAsia="Calibri" w:cs="Calibri"/>
          <w:color w:val="000000"/>
          <w:sz w:val="22"/>
          <w:szCs w:val="22"/>
        </w:rPr>
        <w:t xml:space="preserve"> larvae and leaf-feeding adults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Herms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Trees infested with buprestids can be cut down and then chipped or heat-treated to kill larvae and pupae within the host material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there are uncertainties about the maximum allowable size of wood chips to guarantee complete mortality of any larvae or pupae present (McCullough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Kopinga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Additionally, the efficacy of heat-treatment in killing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larvae and pupae depends on the chamber temperature, the internal wood temperature, and duration of heat (Myers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Goebel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 have been documented in North America, including egg parasitoids in the families Aphelinidae and Encyrtidae, and larval parasitoids in the families Braconidae, Chalcididae, Eulophidae, Eurytomidae, and Ichneumonidae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Triapitsyn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2015). Although some natural enemies have caused more than 50%  mortality to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eggs or larvae (Nash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Barter, 1957; Loerch &amp; Cameron, 1983b), there have been no studies on the role that these parasitoids play in the population dynamics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With respect to entomopathogens, Kyei-Poku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a microsporidian infecting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Ontario that varied greatly in incidence among populations.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 distribution of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in North America, from Alaska and Canada to parts of the Southern United States, indicates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can tolerate a wide range of climatic conditions, and could probably establish throughout much of the EPPO region. Birch species exist throughout much of Europe and Asia, with some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pubescens</w:t>
      </w:r>
      <w:r>
        <w:rPr>
          <w:rFonts w:ascii="Calibri" w:hAnsi="Calibri" w:eastAsia="Calibri" w:cs="Calibri"/>
          <w:color w:val="000000"/>
          <w:sz w:val="22"/>
          <w:szCs w:val="22"/>
        </w:rPr>
        <w:t xml:space="preserve">, being very common in Northern Europe (Beck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example, in Nordic and Baltic countries, birch species comprise from 11–16% and 17–28%, respectively, of the total volume of growing stock (Hynynen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Considering the high susceptibility of European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species to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the introduction and establishment of this beetle would be likely to result in widespread mortality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trees in forests, nurseries, and cities throughout Eurasia, with a similar effect to that of the introduction of the Asian buprestid </w:t>
      </w:r>
      <w:r>
        <w:rPr>
          <w:rFonts w:ascii="Calibri" w:hAnsi="Calibri" w:eastAsia="Calibri" w:cs="Calibri"/>
          <w:i/>
          <w:iCs/>
          <w:color w:val="000000"/>
          <w:sz w:val="22"/>
          <w:szCs w:val="22"/>
        </w:rPr>
        <w:t xml:space="preserve">A. planipennis </w:t>
      </w:r>
      <w:r>
        <w:rPr>
          <w:rFonts w:ascii="Calibri" w:hAnsi="Calibri" w:eastAsia="Calibri" w:cs="Calibri"/>
          <w:color w:val="000000"/>
          <w:sz w:val="22"/>
          <w:szCs w:val="22"/>
        </w:rPr>
        <w:t xml:space="preserve"> on ash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trees in North America (Poland &amp; McCullough, 2006). As evidence of the growing concern that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could be introduced to Europe there are several recent efforts in Europe to develop contingency plans and survey methods for </w:t>
      </w:r>
      <w:r>
        <w:rPr>
          <w:rFonts w:ascii="Calibri" w:hAnsi="Calibri" w:eastAsia="Calibri" w:cs="Calibri"/>
          <w:i/>
          <w:iCs/>
          <w:color w:val="000000"/>
          <w:sz w:val="22"/>
          <w:szCs w:val="22"/>
        </w:rPr>
        <w:t xml:space="preserve">A. anxius </w:t>
      </w:r>
      <w:r>
        <w:rPr>
          <w:rFonts w:ascii="Calibri" w:hAnsi="Calibri" w:eastAsia="Calibri" w:cs="Calibri"/>
          <w:color w:val="000000"/>
          <w:sz w:val="22"/>
          <w:szCs w:val="22"/>
        </w:rPr>
        <w:t xml:space="preserve">prior to its possible arrival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2011); they are as follows. Plants for planting (except seeds) of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should originate from countries found free from the pest or be of small diameter (&lt;2 cm for plants with stem, &lt;1 cm for scions). Alternatively, they may be grown under insect-proof conditions. Wood chips should originate from countries found free from the pest or undergo heat treatment or fumigation.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wood with or without bark and furniture and other objects made of untreated birch wood should originate from countries found free from the pest, or undergo heat treatment or irradiation. Alternatively, outer sapwood should have been removed or wood commodities should be stored in the country of export for an appropriate period (1 year for wood chips, 2 years for wood). Importing during winter and processing some wood commodities (including woodchips) before the next flight period may be authorized under an import permit.</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anxius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(1984) Predicting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(Coleoptera: Buprestidae) adult emergence by heat unit accumulation.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1459–1463.</w:t>
      </w:r>
    </w:p>
    <w:p>
      <w:pPr>
        <w:widowControl w:val="on"/>
        <w:pBdr/>
        <w:spacing w:before="220" w:after="220" w:line="240" w:lineRule="auto"/>
        <w:ind w:left="0" w:right="0"/>
        <w:jc w:val="left"/>
      </w:pPr>
      <w:r>
        <w:rPr>
          <w:rFonts w:ascii="Calibri" w:hAnsi="Calibri" w:eastAsia="Calibri" w:cs="Calibri"/>
          <w:color w:val="000000"/>
          <w:sz w:val="22"/>
          <w:szCs w:val="22"/>
        </w:rPr>
        <w:t xml:space="preserve">Akers RC &amp; Nielsen DG (1990) Reproductive-biology of the bronze birch borer (Coleoptera: Buprestidae) on selected trees. </w:t>
      </w:r>
      <w:r>
        <w:rPr>
          <w:rFonts w:ascii="Calibri" w:hAnsi="Calibri" w:eastAsia="Calibri" w:cs="Calibri"/>
          <w:i/>
          <w:iCs/>
          <w:color w:val="000000"/>
          <w:sz w:val="22"/>
          <w:szCs w:val="22"/>
        </w:rPr>
        <w:t xml:space="preserve">Journal of Entomological Science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196–203.</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RF (1944) The relation between host condition and attacks by the bronzed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588–596.</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Randell R &amp; Rachesky S (1973) Chemical control of bronze birch borer.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258–259.</w:t>
      </w:r>
    </w:p>
    <w:p>
      <w:pPr>
        <w:widowControl w:val="on"/>
        <w:pBdr/>
        <w:spacing w:before="220" w:after="220" w:line="240" w:lineRule="auto"/>
        <w:ind w:left="0" w:right="0"/>
        <w:jc w:val="left"/>
      </w:pPr>
      <w:r>
        <w:rPr>
          <w:rFonts w:ascii="Calibri" w:hAnsi="Calibri" w:eastAsia="Calibri" w:cs="Calibri"/>
          <w:color w:val="000000"/>
          <w:sz w:val="22"/>
          <w:szCs w:val="22"/>
        </w:rPr>
        <w:t xml:space="preserve">Balch RE &amp; Prebble JS (1940) The bronze birch borer and its relation to the dying of birch in New Brunswick forests. </w:t>
      </w:r>
      <w:r>
        <w:rPr>
          <w:rFonts w:ascii="Calibri" w:hAnsi="Calibri" w:eastAsia="Calibri" w:cs="Calibri"/>
          <w:i/>
          <w:iCs/>
          <w:color w:val="000000"/>
          <w:sz w:val="22"/>
          <w:szCs w:val="22"/>
        </w:rPr>
        <w:t xml:space="preserve">Forestry Chronicle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179–201.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&amp; Simmons G (1980) The relationship between bronze birch borer and birch dieback. </w:t>
      </w:r>
      <w:r>
        <w:rPr>
          <w:rFonts w:ascii="Calibri" w:hAnsi="Calibri" w:eastAsia="Calibri" w:cs="Calibri"/>
          <w:i/>
          <w:iCs/>
          <w:color w:val="000000"/>
          <w:sz w:val="22"/>
          <w:szCs w:val="22"/>
        </w:rPr>
        <w:t xml:space="preserve">Journal of Arboriculture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309–314.</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(1957) Studies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in New Brunswick.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12–36.</w:t>
      </w:r>
    </w:p>
    <w:p>
      <w:pPr>
        <w:widowControl w:val="on"/>
        <w:pBdr/>
        <w:spacing w:before="220" w:after="220" w:line="240" w:lineRule="auto"/>
        <w:ind w:left="0" w:right="0"/>
        <w:jc w:val="left"/>
      </w:pPr>
      <w:r>
        <w:rPr>
          <w:rFonts w:ascii="Calibri" w:hAnsi="Calibri" w:eastAsia="Calibri" w:cs="Calibri"/>
          <w:color w:val="000000"/>
          <w:sz w:val="22"/>
          <w:szCs w:val="22"/>
        </w:rPr>
        <w:t xml:space="preserve">Barter GW &amp; Brown WJ (1949) On the identity of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Gory and some allied species (Coleoptera: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245–249. </w:t>
      </w:r>
    </w:p>
    <w:p>
      <w:pPr>
        <w:widowControl w:val="on"/>
        <w:pBdr/>
        <w:spacing w:before="220" w:after="220" w:line="240" w:lineRule="auto"/>
        <w:ind w:left="0" w:right="0"/>
        <w:jc w:val="left"/>
      </w:pPr>
      <w:r>
        <w:rPr>
          <w:rFonts w:ascii="Calibri" w:hAnsi="Calibri" w:eastAsia="Calibri" w:cs="Calibri"/>
          <w:color w:val="000000"/>
          <w:sz w:val="22"/>
          <w:szCs w:val="22"/>
        </w:rPr>
        <w:t xml:space="preserve">Beck P, Caudullo G, de Rigo D, &amp; Tinner W (2016) </w:t>
      </w:r>
      <w:r>
        <w:rPr>
          <w:rFonts w:ascii="Calibri" w:hAnsi="Calibri" w:eastAsia="Calibri" w:cs="Calibri"/>
          <w:i/>
          <w:iCs/>
          <w:color w:val="000000"/>
          <w:sz w:val="22"/>
          <w:szCs w:val="22"/>
        </w:rPr>
        <w:t xml:space="preserve">Betula pendula, Betula pubescens</w:t>
      </w:r>
      <w:r>
        <w:rPr>
          <w:rFonts w:ascii="Calibri" w:hAnsi="Calibri" w:eastAsia="Calibri" w:cs="Calibri"/>
          <w:color w:val="000000"/>
          <w:sz w:val="22"/>
          <w:szCs w:val="22"/>
        </w:rPr>
        <w:t xml:space="preserve"> and other birches in Europe: distribution, habitat, usage and threats. In: San-Miguel-Ayanz, J, de Rigo D, Caudullo G, Houston Durrant T, Mauri A (Eds.), European Atlas of Forest Tree Species. Publications Office of the European Union, Luxembourg, pp. e010226+</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w:t>
      </w:r>
      <w:r>
        <w:rPr>
          <w:rFonts w:ascii="Calibri" w:hAnsi="Calibri" w:eastAsia="Calibri" w:cs="Calibri"/>
          <w:i/>
          <w:iCs/>
          <w:color w:val="000000"/>
          <w:sz w:val="22"/>
          <w:szCs w:val="22"/>
        </w:rPr>
        <w:t xml:space="preserve">Insects and Arachnids of Canada Handbook Series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255–256.</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RW &amp; Knight FB (1969) Biology, taxonomy, and evolution of four sympatric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beetles. Contributions of the American Entomological Institute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,1–105.</w:t>
      </w:r>
    </w:p>
    <w:p>
      <w:pPr>
        <w:widowControl w:val="on"/>
        <w:pBdr/>
        <w:spacing w:before="220" w:after="220" w:line="240" w:lineRule="auto"/>
        <w:ind w:left="0" w:right="0"/>
        <w:jc w:val="left"/>
      </w:pPr>
      <w:r>
        <w:rPr>
          <w:rFonts w:ascii="Calibri" w:hAnsi="Calibri" w:eastAsia="Calibri" w:cs="Calibri"/>
          <w:color w:val="000000"/>
          <w:sz w:val="22"/>
          <w:szCs w:val="22"/>
        </w:rPr>
        <w:t xml:space="preserve">Chamorro ML, Jendek E, Haack RA, Petrice TR, Woodley NE, Konstantinov AS, Volkovitsh MG, Yang XK, Grebennikov VV, &amp; Lingafelter SW (2015) Illustrated guide to the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Fairmaire and related species (Coleoptera, Buprestidae). Pensoft, Sofia, Bulgaria. 197 pp. </w:t>
      </w:r>
    </w:p>
    <w:p>
      <w:pPr>
        <w:widowControl w:val="on"/>
        <w:pBdr/>
        <w:spacing w:before="220" w:after="220" w:line="240" w:lineRule="auto"/>
        <w:ind w:left="0" w:right="0"/>
        <w:jc w:val="left"/>
      </w:pPr>
      <w:r>
        <w:rPr>
          <w:rFonts w:ascii="Calibri" w:hAnsi="Calibri" w:eastAsia="Calibri" w:cs="Calibri"/>
          <w:color w:val="000000"/>
          <w:sz w:val="22"/>
          <w:szCs w:val="22"/>
        </w:rPr>
        <w:t xml:space="preserve">Duckles B &amp; Svihra P (1995). Bronze birch borer discovered in California. University of California, Cooperative Extension, Hortscript No. 16.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Schrader G, Kinkar M &amp; Vos S. Pest survey card on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EFSA Supporting Publication 2020:EN-1777. 23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Report of a Pest Risk Analysis for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Document 11-16988. Paris. Available at https://gd.eppo.int/taxon/AGRLAX/documents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EPPO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158–165.</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Williams D, Hoch G, Loomans A &amp; Marzano M (2020) Developing a European toolbox to manage potential invasion by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and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important pests of ash and birch.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187–196. </w:t>
      </w:r>
    </w:p>
    <w:p>
      <w:pPr>
        <w:widowControl w:val="on"/>
        <w:pBdr/>
        <w:spacing w:before="220" w:after="220" w:line="240" w:lineRule="auto"/>
        <w:ind w:left="0" w:right="0"/>
        <w:jc w:val="left"/>
      </w:pPr>
      <w:r>
        <w:rPr>
          <w:rFonts w:ascii="Calibri" w:hAnsi="Calibri" w:eastAsia="Calibri" w:cs="Calibri"/>
          <w:color w:val="000000"/>
          <w:sz w:val="22"/>
          <w:szCs w:val="22"/>
        </w:rPr>
        <w:t xml:space="preserve">Flø D, Krokene P &amp; Økland B (2014) Importing deciduous wood chips from North America to northern Europe: The risk of introducing bark-and wood-boring insects.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77–89.</w:t>
      </w:r>
    </w:p>
    <w:p>
      <w:pPr>
        <w:widowControl w:val="on"/>
        <w:pBdr/>
        <w:spacing w:before="220" w:after="220" w:line="240" w:lineRule="auto"/>
        <w:ind w:left="0" w:right="0"/>
        <w:jc w:val="left"/>
      </w:pPr>
      <w:r>
        <w:rPr>
          <w:rFonts w:ascii="Calibri" w:hAnsi="Calibri" w:eastAsia="Calibri" w:cs="Calibri"/>
          <w:color w:val="000000"/>
          <w:sz w:val="22"/>
          <w:szCs w:val="22"/>
        </w:rPr>
        <w:t xml:space="preserve">Goebel PC, Bumgardner MS, Herms DA &amp; Sabula A (2010) Failure to phytosanitize firewood infested with emerald ash borer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in a small dry kiln using ISPM-15 standards.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597–602.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 </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&amp; Petrice TR (2019) Historical population increases and related inciting factors of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Agrilus bilineatus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Agrilus granulatus liragus</w:t>
      </w:r>
      <w:r>
        <w:rPr>
          <w:rFonts w:ascii="Calibri" w:hAnsi="Calibri" w:eastAsia="Calibri" w:cs="Calibri"/>
          <w:color w:val="000000"/>
          <w:sz w:val="22"/>
          <w:szCs w:val="22"/>
        </w:rPr>
        <w:t xml:space="preserve"> (Coleoptera: Buprestidae) in the Lake States (Michigan, Minnesota, and Wisconsin).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21–33.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Jendek E, Liu H, Marchant KR, Petrice TR, Poland TM &amp; Ye, H. (2002) The emerald ash borer: a new exotic pest in North America. </w:t>
      </w:r>
      <w:r>
        <w:rPr>
          <w:rFonts w:ascii="Calibri" w:hAnsi="Calibri" w:eastAsia="Calibri" w:cs="Calibri"/>
          <w:i/>
          <w:iCs/>
          <w:color w:val="000000"/>
          <w:sz w:val="22"/>
          <w:szCs w:val="22"/>
        </w:rPr>
        <w:t xml:space="preserve">Newsletter of the Michigan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Baranchikov Y, Bauer LS &amp; Poland TM (2015) Emerald ash borer biology and invasion history, pp. 1–13. In R Van Driesche, J Duan, K Abell, L Bauer &amp; J Gould (eds.), Biology and control of emerald ash borer. FHTET–2014–09. USDA Forest Service, Forest Health Technology Enterprise Team, Morgantown, WV.</w:t>
      </w:r>
    </w:p>
    <w:p>
      <w:pPr>
        <w:widowControl w:val="on"/>
        <w:pBdr/>
        <w:spacing w:before="220" w:after="220" w:line="240" w:lineRule="auto"/>
        <w:ind w:left="0" w:right="0"/>
        <w:jc w:val="left"/>
      </w:pPr>
      <w:r>
        <w:rPr>
          <w:rFonts w:ascii="Calibri" w:hAnsi="Calibri" w:eastAsia="Calibri" w:cs="Calibri"/>
          <w:color w:val="000000"/>
          <w:sz w:val="22"/>
          <w:szCs w:val="22"/>
        </w:rPr>
        <w:t xml:space="preserve">Herms DA, McCullough DG, Clifford CS, Smitley DR, Miller FD, Cranshaw W (2019) Insecticide options for protecting ash trees from emerald ash borer. North Central IPM Center Bulletin. 3rd Edition. 16 pp. Online at: </w:t>
      </w:r>
      <w:hyperlink r:id="rId694068049b36e76c2" w:history="1">
        <w:r>
          <w:rPr>
            <w:rFonts w:ascii="Calibri" w:hAnsi="Calibri" w:eastAsia="Calibri" w:cs="Calibri"/>
            <w:color w:val="0000CC"/>
            <w:sz w:val="22"/>
            <w:szCs w:val="22"/>
            <w:u w:val="single"/>
          </w:rPr>
          <w:t xml:space="preserve">http://www.emeraldashborer.info/documents/Multistate_EAB_Insecticide_Fact_Sheet.pdf</w:t>
        </w:r>
      </w:hyperlink>
      <w:r>
        <w:rPr>
          <w:rFonts w:ascii="Calibri" w:hAnsi="Calibri" w:eastAsia="Calibri" w:cs="Calibri"/>
          <w:color w:val="000000"/>
          <w:sz w:val="22"/>
          <w:szCs w:val="22"/>
        </w:rPr>
        <w:t xml:space="preserve"> [accessed on 19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Hynynen J, Niemistö P, Viherä-aarnio A, Brunner A, Hein S &amp; Velling P (2010) Silviculture of birch (</w:t>
      </w:r>
      <w:r>
        <w:rPr>
          <w:rFonts w:ascii="Calibri" w:hAnsi="Calibri" w:eastAsia="Calibri" w:cs="Calibri"/>
          <w:i/>
          <w:iCs/>
          <w:color w:val="000000"/>
          <w:sz w:val="22"/>
          <w:szCs w:val="22"/>
        </w:rPr>
        <w:t xml:space="preserve">Betula pendula </w:t>
      </w:r>
      <w:r>
        <w:rPr>
          <w:rFonts w:ascii="Calibri" w:hAnsi="Calibri" w:eastAsia="Calibri" w:cs="Calibri"/>
          <w:color w:val="000000"/>
          <w:sz w:val="22"/>
          <w:szCs w:val="22"/>
        </w:rPr>
        <w:t xml:space="preserve">Roth and </w:t>
      </w:r>
      <w:r>
        <w:rPr>
          <w:rFonts w:ascii="Calibri" w:hAnsi="Calibri" w:eastAsia="Calibri" w:cs="Calibri"/>
          <w:i/>
          <w:iCs/>
          <w:color w:val="000000"/>
          <w:sz w:val="22"/>
          <w:szCs w:val="22"/>
        </w:rPr>
        <w:t xml:space="preserve">Betula pubescens </w:t>
      </w:r>
      <w:r>
        <w:rPr>
          <w:rFonts w:ascii="Calibri" w:hAnsi="Calibri" w:eastAsia="Calibri" w:cs="Calibri"/>
          <w:color w:val="000000"/>
          <w:sz w:val="22"/>
          <w:szCs w:val="22"/>
        </w:rPr>
        <w:t xml:space="preserve">Ehrh.) in northern Europe. </w:t>
      </w:r>
      <w:r>
        <w:rPr>
          <w:rFonts w:ascii="Calibri" w:hAnsi="Calibri" w:eastAsia="Calibri" w:cs="Calibri"/>
          <w:i/>
          <w:iCs/>
          <w:color w:val="000000"/>
          <w:sz w:val="22"/>
          <w:szCs w:val="22"/>
        </w:rPr>
        <w:t xml:space="preserve">Forestry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103–119.</w:t>
      </w:r>
    </w:p>
    <w:p>
      <w:pPr>
        <w:widowControl w:val="on"/>
        <w:pBdr/>
        <w:spacing w:before="220" w:after="220" w:line="240" w:lineRule="auto"/>
        <w:ind w:left="0" w:right="0"/>
        <w:jc w:val="left"/>
      </w:pPr>
      <w:r>
        <w:rPr>
          <w:rFonts w:ascii="Calibri" w:hAnsi="Calibri" w:eastAsia="Calibri" w:cs="Calibri"/>
          <w:color w:val="000000"/>
          <w:sz w:val="22"/>
          <w:szCs w:val="22"/>
        </w:rPr>
        <w:t xml:space="preserve">Kopinga J, Moraal LG, Verwer CC &amp; Clerkx APPM (2010). Phytosanitary risks of wood chips. Alterra Report 2059, pp. 88. Alterra, Wageningen (NL) </w:t>
      </w:r>
    </w:p>
    <w:p>
      <w:pPr>
        <w:widowControl w:val="on"/>
        <w:pBdr/>
        <w:spacing w:before="220" w:after="220" w:line="240" w:lineRule="auto"/>
        <w:ind w:left="0" w:right="0"/>
        <w:jc w:val="left"/>
      </w:pPr>
      <w:r>
        <w:rPr>
          <w:rFonts w:ascii="Calibri" w:hAnsi="Calibri" w:eastAsia="Calibri" w:cs="Calibri"/>
          <w:color w:val="000000"/>
          <w:sz w:val="22"/>
          <w:szCs w:val="22"/>
        </w:rPr>
        <w:t xml:space="preserve">Kurczewski FE &amp; Miller RC (1984) Observations on the nesting of three species of </w:t>
      </w:r>
      <w:r>
        <w:rPr>
          <w:rFonts w:ascii="Calibri" w:hAnsi="Calibri" w:eastAsia="Calibri" w:cs="Calibri"/>
          <w:i/>
          <w:iCs/>
          <w:color w:val="000000"/>
          <w:sz w:val="22"/>
          <w:szCs w:val="22"/>
        </w:rPr>
        <w:t xml:space="preserve">Cerceris</w:t>
      </w:r>
      <w:r>
        <w:rPr>
          <w:rFonts w:ascii="Calibri" w:hAnsi="Calibri" w:eastAsia="Calibri" w:cs="Calibri"/>
          <w:color w:val="000000"/>
          <w:sz w:val="22"/>
          <w:szCs w:val="22"/>
        </w:rPr>
        <w:t xml:space="preserve"> (Hymenoptera: Sphecidae).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146-155.</w:t>
      </w:r>
    </w:p>
    <w:p>
      <w:pPr>
        <w:widowControl w:val="on"/>
        <w:pBdr/>
        <w:spacing w:before="220" w:after="220" w:line="240" w:lineRule="auto"/>
        <w:ind w:left="0" w:right="0"/>
        <w:jc w:val="left"/>
      </w:pPr>
      <w:r>
        <w:rPr>
          <w:rFonts w:ascii="Calibri" w:hAnsi="Calibri" w:eastAsia="Calibri" w:cs="Calibri"/>
          <w:color w:val="000000"/>
          <w:sz w:val="22"/>
          <w:szCs w:val="22"/>
        </w:rPr>
        <w:t xml:space="preserve">Kyei-Poku G, Gauthier D, Schwarz R &amp; Frankenhuyzen KV (2011) Morphology, molecular characteristics and prevalence of a </w:t>
      </w:r>
      <w:r>
        <w:rPr>
          <w:rFonts w:ascii="Calibri" w:hAnsi="Calibri" w:eastAsia="Calibri" w:cs="Calibri"/>
          <w:i/>
          <w:iCs/>
          <w:color w:val="000000"/>
          <w:sz w:val="22"/>
          <w:szCs w:val="22"/>
        </w:rPr>
        <w:t xml:space="preserve">Cystosporogenes </w:t>
      </w:r>
      <w:r>
        <w:rPr>
          <w:rFonts w:ascii="Calibri" w:hAnsi="Calibri" w:eastAsia="Calibri" w:cs="Calibri"/>
          <w:color w:val="000000"/>
          <w:sz w:val="22"/>
          <w:szCs w:val="22"/>
        </w:rPr>
        <w:t xml:space="preserve">species (Microsporidia) isolated from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(1983a) Determination of larval instars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948–952.</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(1983b) Natural enemies of immature stages of the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Buperstidae) in Pennsylvania.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1798–1801.</w:t>
      </w:r>
    </w:p>
    <w:p>
      <w:pPr>
        <w:widowControl w:val="on"/>
        <w:pBdr/>
        <w:spacing w:before="220" w:after="220" w:line="240" w:lineRule="auto"/>
        <w:ind w:left="0" w:right="0"/>
        <w:jc w:val="left"/>
      </w:pPr>
      <w:r>
        <w:rPr>
          <w:rFonts w:ascii="Calibri" w:hAnsi="Calibri" w:eastAsia="Calibri" w:cs="Calibri"/>
          <w:color w:val="000000"/>
          <w:sz w:val="22"/>
          <w:szCs w:val="22"/>
        </w:rPr>
        <w:t xml:space="preserve">Loerch CR &amp; Cameron EA (1984) Within-tree distributions and seasonality of immature stages of the bronze birch borer, </w:t>
      </w:r>
      <w:r>
        <w:rPr>
          <w:rFonts w:ascii="Calibri" w:hAnsi="Calibri" w:eastAsia="Calibri" w:cs="Calibri"/>
          <w:i/>
          <w:iCs/>
          <w:color w:val="000000"/>
          <w:sz w:val="22"/>
          <w:szCs w:val="22"/>
        </w:rPr>
        <w:t xml:space="preserve">Agrilus anxius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147–152.</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Cappaert D, Clark EL, Fraser I, Mastro V, Smith S &amp; Pell C (2007) Effects of chipping, grinding, and heat on survival of emerald ash borer,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in chips.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1304–1315.</w:t>
      </w:r>
    </w:p>
    <w:p>
      <w:pPr>
        <w:widowControl w:val="on"/>
        <w:pBdr/>
        <w:spacing w:before="220" w:after="220" w:line="240" w:lineRule="auto"/>
        <w:ind w:left="0" w:right="0"/>
        <w:jc w:val="left"/>
      </w:pPr>
      <w:r>
        <w:rPr>
          <w:rFonts w:ascii="Calibri" w:hAnsi="Calibri" w:eastAsia="Calibri" w:cs="Calibri"/>
          <w:color w:val="000000"/>
          <w:sz w:val="22"/>
          <w:szCs w:val="22"/>
        </w:rPr>
        <w:t xml:space="preserve">McCullough DG, Poland TM, Anulewicz AC, Lewis P &amp; Cappaert D (2011) Evaluation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control provided by emamectin benzoate and two neonicotinoid insecticides, one and two seasons after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1599–1612.</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N, Helson B, Thompson D, Otis G, McFarlane J, Buscarini T &amp; Meating J</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(2010) Azadirachtin: an effective systemic insecticide for control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708–717. </w:t>
      </w:r>
    </w:p>
    <w:p>
      <w:pPr>
        <w:widowControl w:val="on"/>
        <w:pBdr/>
        <w:spacing w:before="220" w:after="220" w:line="240" w:lineRule="auto"/>
        <w:ind w:left="0" w:right="0"/>
        <w:jc w:val="left"/>
      </w:pPr>
      <w:r>
        <w:rPr>
          <w:rFonts w:ascii="Calibri" w:hAnsi="Calibri" w:eastAsia="Calibri" w:cs="Calibri"/>
          <w:color w:val="000000"/>
          <w:sz w:val="22"/>
          <w:szCs w:val="22"/>
        </w:rPr>
        <w:t xml:space="preserve">Meurisse N, Rassati D, Hurley BP, Brockerhoff EG &amp; Haack RA (2019) Common pathways by which non-native forest insects move internationally and domestically.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13–27.</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RO, Bloese PD, Hanover JW &amp; Haack RA (1991) Paper birch and European white birch vary in growth and resistance to bronze birch borer. </w:t>
      </w:r>
      <w:r>
        <w:rPr>
          <w:rFonts w:ascii="Calibri" w:hAnsi="Calibri" w:eastAsia="Calibri" w:cs="Calibri"/>
          <w:i/>
          <w:iCs/>
          <w:color w:val="000000"/>
          <w:sz w:val="22"/>
          <w:szCs w:val="22"/>
        </w:rPr>
        <w:t xml:space="preserve">Journal of the American Society for Horticultural Science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580– 584.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Millers I, Shriner DS &amp; Rizzo D (1989) History of hardwood decline in the eastern United States. General Technical Report NE-126.USDA Forest Service, Northeastern Forest Experiment Station, Broomall, PA (US).</w:t>
      </w:r>
    </w:p>
    <w:p>
      <w:pPr>
        <w:widowControl w:val="on"/>
        <w:pBdr/>
        <w:spacing w:before="220" w:after="220" w:line="240" w:lineRule="auto"/>
        <w:ind w:left="0" w:right="0"/>
        <w:jc w:val="left"/>
      </w:pPr>
      <w:r>
        <w:rPr>
          <w:rFonts w:ascii="Calibri" w:hAnsi="Calibri" w:eastAsia="Calibri" w:cs="Calibri"/>
          <w:color w:val="000000"/>
          <w:sz w:val="22"/>
          <w:szCs w:val="22"/>
        </w:rPr>
        <w:t xml:space="preserve"> Muilenburg VL &amp; Herms DA (2012) A review of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life history, ecology, and management.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1372–1385.</w:t>
      </w:r>
    </w:p>
    <w:p>
      <w:pPr>
        <w:widowControl w:val="on"/>
        <w:pBdr/>
        <w:spacing w:before="220" w:after="220" w:line="240" w:lineRule="auto"/>
        <w:ind w:left="0" w:right="0"/>
        <w:jc w:val="left"/>
      </w:pPr>
      <w:r>
        <w:rPr>
          <w:rFonts w:ascii="Calibri" w:hAnsi="Calibri" w:eastAsia="Calibri" w:cs="Calibri"/>
          <w:color w:val="000000"/>
          <w:sz w:val="22"/>
          <w:szCs w:val="22"/>
        </w:rPr>
        <w:t xml:space="preserve">Mussey GJ &amp; Potter DA (1997) Phenological correlations between flowering plants and activity of urban landscape pests in Kentucky.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1615–1627.</w:t>
      </w:r>
    </w:p>
    <w:p>
      <w:pPr>
        <w:widowControl w:val="on"/>
        <w:pBdr/>
        <w:spacing w:before="220" w:after="220" w:line="240" w:lineRule="auto"/>
        <w:ind w:left="0" w:right="0"/>
        <w:jc w:val="left"/>
      </w:pPr>
      <w:r>
        <w:rPr>
          <w:rFonts w:ascii="Calibri" w:hAnsi="Calibri" w:eastAsia="Calibri" w:cs="Calibri"/>
          <w:color w:val="000000"/>
          <w:sz w:val="22"/>
          <w:szCs w:val="22"/>
        </w:rPr>
        <w:t xml:space="preserve">Myers SW, Fraser I &amp; Mastro VC (2009) Evaluation of heat treatment schedules for emerald ash borer (Coleoptera: Buprestidae).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2048–2055.</w:t>
      </w:r>
    </w:p>
    <w:p>
      <w:pPr>
        <w:widowControl w:val="on"/>
        <w:pBdr/>
        <w:spacing w:before="220" w:after="220" w:line="240" w:lineRule="auto"/>
        <w:ind w:left="0" w:right="0"/>
        <w:jc w:val="left"/>
      </w:pPr>
      <w:r>
        <w:rPr>
          <w:rFonts w:ascii="Calibri" w:hAnsi="Calibri" w:eastAsia="Calibri" w:cs="Calibri"/>
          <w:color w:val="000000"/>
          <w:sz w:val="22"/>
          <w:szCs w:val="22"/>
        </w:rPr>
        <w:t xml:space="preserve">Nash RW, Duda EJ &amp; Gray NH (1951) Studies on Extensive Dying, Regeneration, and Management of Birch. </w:t>
      </w:r>
      <w:r>
        <w:rPr>
          <w:rFonts w:ascii="Calibri" w:hAnsi="Calibri" w:eastAsia="Calibri" w:cs="Calibri"/>
          <w:i/>
          <w:iCs/>
          <w:color w:val="000000"/>
          <w:sz w:val="22"/>
          <w:szCs w:val="22"/>
        </w:rPr>
        <w:t xml:space="preserve">Maine Forest Service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82 pp. Maine Forest Service, Augusta, ME (US).</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DG, Muilenburg VL &amp; Herms DA (2011) Comparative resistance of Asian, European, and North American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to bronze birch borer (Coleoptera: Buprestidae).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648– 653.</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Haack RA &amp; Wilhelmsen G (2012) Detection probability of forest pests in current inspection protocols – a case study of the bronze birch borer. Scandinavian </w:t>
      </w:r>
      <w:r>
        <w:rPr>
          <w:rFonts w:ascii="Calibri" w:hAnsi="Calibri" w:eastAsia="Calibri" w:cs="Calibri"/>
          <w:i/>
          <w:iCs/>
          <w:color w:val="000000"/>
          <w:sz w:val="22"/>
          <w:szCs w:val="22"/>
        </w:rPr>
        <w:t xml:space="preserve">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285–297.</w:t>
      </w:r>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of northeastern North America. Canadian Food Inspection Agency, Ottawa, Ontario, Canada.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&amp; Haack RA (2006) Efficacy of three insecticides applied to bark to control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w:t>
      </w:r>
      <w:r>
        <w:rPr>
          <w:rFonts w:ascii="Calibri" w:hAnsi="Calibri" w:eastAsia="Calibri" w:cs="Calibri"/>
          <w:i/>
          <w:iCs/>
          <w:color w:val="000000"/>
          <w:sz w:val="22"/>
          <w:szCs w:val="22"/>
        </w:rPr>
        <w:t xml:space="preserve">Great Lakes Entomologist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27–33.</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Agrilus planipennis (Coleoptera: Buprestidae) and other buprestids to sticky traps of various colors and shapes. </w:t>
      </w:r>
      <w:r>
        <w:rPr>
          <w:rFonts w:ascii="Calibri" w:hAnsi="Calibri" w:eastAsia="Calibri" w:cs="Calibri"/>
          <w:i/>
          <w:iCs/>
          <w:color w:val="000000"/>
          <w:sz w:val="22"/>
          <w:szCs w:val="22"/>
        </w:rPr>
        <w:t xml:space="preserve">The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13–30.</w:t>
      </w:r>
    </w:p>
    <w:p>
      <w:pPr>
        <w:widowControl w:val="on"/>
        <w:pBdr/>
        <w:spacing w:before="220" w:after="220" w:line="240" w:lineRule="auto"/>
        <w:ind w:left="0" w:right="0"/>
        <w:jc w:val="left"/>
      </w:pPr>
      <w:r>
        <w:rPr>
          <w:rFonts w:ascii="Calibri" w:hAnsi="Calibri" w:eastAsia="Calibri" w:cs="Calibri"/>
          <w:color w:val="000000"/>
          <w:sz w:val="22"/>
          <w:szCs w:val="22"/>
        </w:rPr>
        <w:t xml:space="preserve">Petter F, Orlinski A, Suffert M, Roy AS &amp; Ward M (2020) EPPO perspective on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(emerald ash borer) and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(bronze birch borer).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220–224</w:t>
      </w:r>
    </w:p>
    <w:p>
      <w:pPr>
        <w:widowControl w:val="on"/>
        <w:pBdr/>
        <w:spacing w:before="220" w:after="220" w:line="240" w:lineRule="auto"/>
        <w:ind w:left="0" w:right="0"/>
        <w:jc w:val="left"/>
      </w:pPr>
      <w:r>
        <w:rPr>
          <w:rFonts w:ascii="Calibri" w:hAnsi="Calibri" w:eastAsia="Calibri" w:cs="Calibri"/>
          <w:color w:val="000000"/>
          <w:sz w:val="22"/>
          <w:szCs w:val="22"/>
        </w:rPr>
        <w:t xml:space="preserve">Poland TM &amp; McCullough DG (2006) Emerald ash borer: invasion of the urban forest and the threat to North America’s ash resource. </w:t>
      </w:r>
      <w:r>
        <w:rPr>
          <w:rFonts w:ascii="Calibri" w:hAnsi="Calibri" w:eastAsia="Calibri" w:cs="Calibri"/>
          <w:i/>
          <w:iCs/>
          <w:color w:val="000000"/>
          <w:sz w:val="22"/>
          <w:szCs w:val="22"/>
        </w:rPr>
        <w:t xml:space="preserve">Journal of Forestry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118–124. </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(2020) Preliminary studies on using emerald ash borer (Coleoptera: Buprestidae) monitoring tools for bronze birch borer (Coleoptera: Buprestidae) detection and management. </w:t>
      </w:r>
      <w:r>
        <w:rPr>
          <w:rFonts w:ascii="Calibri" w:hAnsi="Calibri" w:eastAsia="Calibri" w:cs="Calibri"/>
          <w:i/>
          <w:iCs/>
          <w:color w:val="000000"/>
          <w:sz w:val="22"/>
          <w:szCs w:val="22"/>
        </w:rPr>
        <w:t xml:space="preserve">Forestry</w:t>
      </w:r>
      <w:r>
        <w:rPr>
          <w:rFonts w:ascii="Calibri" w:hAnsi="Calibri" w:eastAsia="Calibri" w:cs="Calibri"/>
          <w:b/>
          <w:bCs/>
          <w:color w:val="000000"/>
          <w:sz w:val="22"/>
          <w:szCs w:val="22"/>
        </w:rPr>
        <w:t xml:space="preserve"> 93</w:t>
      </w:r>
      <w:r>
        <w:rPr>
          <w:rFonts w:ascii="Calibri" w:hAnsi="Calibri" w:eastAsia="Calibri" w:cs="Calibri"/>
          <w:color w:val="000000"/>
          <w:sz w:val="22"/>
          <w:szCs w:val="22"/>
        </w:rPr>
        <w:t xml:space="preserve">, 297–304.</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(2012) Mating frequency and fecundity in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852–858.</w:t>
      </w:r>
    </w:p>
    <w:p>
      <w:pPr>
        <w:widowControl w:val="on"/>
        <w:pBdr/>
        <w:spacing w:before="220" w:after="220" w:line="240" w:lineRule="auto"/>
        <w:ind w:left="0" w:right="0"/>
        <w:jc w:val="left"/>
      </w:pPr>
      <w:r>
        <w:rPr>
          <w:rFonts w:ascii="Calibri" w:hAnsi="Calibri" w:eastAsia="Calibri" w:cs="Calibri"/>
          <w:color w:val="000000"/>
          <w:sz w:val="22"/>
          <w:szCs w:val="22"/>
        </w:rPr>
        <w:t xml:space="preserve">Rutledge CE &amp; Keena MA (2019) Mating behavior and reproductive biology of emerald ash borer (Coleoptera: Buprestidae) and two of its native congeners, the twolined chestnut borer and the bronze birch borer.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2620–2631. </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(1999) Progress in the development of borer-resistant white-barked birches.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25(3)</w:t>
      </w:r>
      <w:r>
        <w:rPr>
          <w:rFonts w:ascii="Calibri" w:hAnsi="Calibri" w:eastAsia="Calibri" w:cs="Calibri"/>
          <w:color w:val="000000"/>
          <w:sz w:val="22"/>
          <w:szCs w:val="22"/>
        </w:rPr>
        <w:t xml:space="preserve">, 151-162.</w:t>
      </w:r>
    </w:p>
    <w:p>
      <w:pPr>
        <w:widowControl w:val="on"/>
        <w:pBdr/>
        <w:spacing w:before="220" w:after="220" w:line="240" w:lineRule="auto"/>
        <w:ind w:left="0" w:right="0"/>
        <w:jc w:val="left"/>
      </w:pPr>
      <w:r>
        <w:rPr>
          <w:rFonts w:ascii="Calibri" w:hAnsi="Calibri" w:eastAsia="Calibri" w:cs="Calibri"/>
          <w:color w:val="000000"/>
          <w:sz w:val="22"/>
          <w:szCs w:val="22"/>
        </w:rPr>
        <w:t xml:space="preserve">Silk PJ, Ryall K, Grant GG, Roscoe LE, Mayo P, Williams M, LeClair G, Kimoto T, Williams D &amp; Rutledge C (2020) Tree girdling and host tree volatiles provides a useful trap for bronze birch borer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Gory (Coleoptera: Buprestidae).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265–272.</w:t>
      </w:r>
    </w:p>
    <w:p>
      <w:pPr>
        <w:widowControl w:val="on"/>
        <w:pBdr/>
        <w:spacing w:before="220" w:after="220" w:line="240" w:lineRule="auto"/>
        <w:ind w:left="0" w:right="0"/>
        <w:jc w:val="left"/>
      </w:pPr>
      <w:r>
        <w:rPr>
          <w:rFonts w:ascii="Calibri" w:hAnsi="Calibri" w:eastAsia="Calibri" w:cs="Calibri"/>
          <w:color w:val="000000"/>
          <w:sz w:val="22"/>
          <w:szCs w:val="22"/>
        </w:rPr>
        <w:t xml:space="preserve">Smitley DR, Doccola JJ &amp; Cox DL (2010) Multiple-year protection of ash trees from emerald ash borer with a single trunk injection of emamectin benzoate, and single-year protection with an imidacloprid basal drench. </w:t>
      </w:r>
      <w:r>
        <w:rPr>
          <w:rFonts w:ascii="Calibri" w:hAnsi="Calibri" w:eastAsia="Calibri" w:cs="Calibri"/>
          <w:i/>
          <w:iCs/>
          <w:color w:val="000000"/>
          <w:sz w:val="22"/>
          <w:szCs w:val="22"/>
        </w:rPr>
        <w:t xml:space="preserve">Arboriculture &amp; Urban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206–211.</w:t>
      </w:r>
    </w:p>
    <w:p>
      <w:pPr>
        <w:widowControl w:val="on"/>
        <w:pBdr/>
        <w:spacing w:before="220" w:after="220" w:line="240" w:lineRule="auto"/>
        <w:ind w:left="0" w:right="0"/>
        <w:jc w:val="left"/>
      </w:pPr>
      <w:r>
        <w:rPr>
          <w:rFonts w:ascii="Calibri" w:hAnsi="Calibri" w:eastAsia="Calibri" w:cs="Calibri"/>
          <w:color w:val="000000"/>
          <w:sz w:val="22"/>
          <w:szCs w:val="22"/>
        </w:rPr>
        <w:t xml:space="preserve">Swink WG, Paiero SM &amp; Nalepa CA (2013) Buprestidae collected as prey by the solitary, ground nesting philanthine wasp </w:t>
      </w:r>
      <w:r>
        <w:rPr>
          <w:rFonts w:ascii="Calibri" w:hAnsi="Calibri" w:eastAsia="Calibri" w:cs="Calibri"/>
          <w:i/>
          <w:iCs/>
          <w:color w:val="000000"/>
          <w:sz w:val="22"/>
          <w:szCs w:val="22"/>
        </w:rPr>
        <w:t xml:space="preserve">Cerceris fumipennis</w:t>
      </w:r>
      <w:r>
        <w:rPr>
          <w:rFonts w:ascii="Calibri" w:hAnsi="Calibri" w:eastAsia="Calibri" w:cs="Calibri"/>
          <w:color w:val="000000"/>
          <w:sz w:val="22"/>
          <w:szCs w:val="22"/>
        </w:rPr>
        <w:t xml:space="preserve"> (Hymenoptera: Crabronidae) in North Carolina. </w:t>
      </w:r>
      <w:r>
        <w:rPr>
          <w:rFonts w:ascii="Calibri" w:hAnsi="Calibri" w:eastAsia="Calibri" w:cs="Calibri"/>
          <w:i/>
          <w:iCs/>
          <w:color w:val="000000"/>
          <w:sz w:val="22"/>
          <w:szCs w:val="22"/>
        </w:rPr>
        <w:t xml:space="preserve">Annals of the Entomological Society of A</w:t>
      </w:r>
      <w:r>
        <w:rPr>
          <w:rFonts w:ascii="Calibri" w:hAnsi="Calibri" w:eastAsia="Calibri" w:cs="Calibri"/>
          <w:i/>
          <w:iCs/>
          <w:color w:val="000000"/>
          <w:sz w:val="22"/>
          <w:szCs w:val="22"/>
        </w:rPr>
        <w:t xml:space="preserve">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PB, Duan JJ, Fuester RW, Hoddle R &amp; van Driesche R. (2012) Parasitoid guilds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woodborers (Coleoptera: Buprestidae): their diversity and potential for use in biological control.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doi:10.1155/2012/813929</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RAJ, Bauer LS, Poland TM &amp; Windell KN (2010) Flight performance of </w:t>
      </w:r>
      <w:r>
        <w:rPr>
          <w:rFonts w:ascii="Calibri" w:hAnsi="Calibri" w:eastAsia="Calibri" w:cs="Calibri"/>
          <w:i/>
          <w:iCs/>
          <w:color w:val="000000"/>
          <w:sz w:val="22"/>
          <w:szCs w:val="22"/>
        </w:rPr>
        <w:t xml:space="preserve">Agrilus planipennis </w:t>
      </w:r>
      <w:r>
        <w:rPr>
          <w:rFonts w:ascii="Calibri" w:hAnsi="Calibri" w:eastAsia="Calibri" w:cs="Calibri"/>
          <w:color w:val="000000"/>
          <w:sz w:val="22"/>
          <w:szCs w:val="22"/>
        </w:rPr>
        <w:t xml:space="preserve">(Coleoptera: Buprestidae) on a flight mill and in free flight. </w:t>
      </w:r>
      <w:r>
        <w:rPr>
          <w:rFonts w:ascii="Calibri" w:hAnsi="Calibri" w:eastAsia="Calibri" w:cs="Calibri"/>
          <w:i/>
          <w:iCs/>
          <w:color w:val="000000"/>
          <w:sz w:val="22"/>
          <w:szCs w:val="22"/>
        </w:rPr>
        <w:t xml:space="preserve">Journal of Insect Behavior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128–148.</w:t>
      </w:r>
    </w:p>
    <w:p>
      <w:pPr>
        <w:widowControl w:val="on"/>
        <w:pBdr/>
        <w:spacing w:before="220" w:after="220" w:line="240" w:lineRule="auto"/>
        <w:ind w:left="0" w:right="0"/>
        <w:jc w:val="left"/>
      </w:pPr>
      <w:r>
        <w:rPr>
          <w:rFonts w:ascii="Calibri" w:hAnsi="Calibri" w:eastAsia="Calibri" w:cs="Calibri"/>
          <w:color w:val="000000"/>
          <w:sz w:val="22"/>
          <w:szCs w:val="22"/>
        </w:rPr>
        <w:t xml:space="preserve">Triapitsyn SV, Petrice TR, Gates MW, Bauer LS (2015) Two new species of </w:t>
      </w:r>
      <w:r>
        <w:rPr>
          <w:rFonts w:ascii="Calibri" w:hAnsi="Calibri" w:eastAsia="Calibri" w:cs="Calibri"/>
          <w:i/>
          <w:iCs/>
          <w:color w:val="000000"/>
          <w:sz w:val="22"/>
          <w:szCs w:val="22"/>
        </w:rPr>
        <w:t xml:space="preserve">Oobius</w:t>
      </w:r>
      <w:r>
        <w:rPr>
          <w:rFonts w:ascii="Calibri" w:hAnsi="Calibri" w:eastAsia="Calibri" w:cs="Calibri"/>
          <w:color w:val="000000"/>
          <w:sz w:val="22"/>
          <w:szCs w:val="22"/>
        </w:rPr>
        <w:t xml:space="preserve"> Trjapitzin (Hymenoptera, Encyrtidae) egg parasitoids of </w:t>
      </w:r>
      <w:r>
        <w:rPr>
          <w:rFonts w:ascii="Calibri" w:hAnsi="Calibri" w:eastAsia="Calibri" w:cs="Calibri"/>
          <w:i/>
          <w:iCs/>
          <w:color w:val="000000"/>
          <w:sz w:val="22"/>
          <w:szCs w:val="22"/>
        </w:rPr>
        <w:t xml:space="preserve">Agrilus</w:t>
      </w:r>
      <w:r>
        <w:rPr>
          <w:rFonts w:ascii="Calibri" w:hAnsi="Calibri" w:eastAsia="Calibri" w:cs="Calibri"/>
          <w:color w:val="000000"/>
          <w:sz w:val="22"/>
          <w:szCs w:val="22"/>
        </w:rPr>
        <w:t xml:space="preserve"> spp. (Coleoptera, Buprestidae) from the USA, including a key and taxonomic notes on other congeneric Nearctic taxa.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498</w:t>
      </w:r>
      <w:r>
        <w:rPr>
          <w:rFonts w:ascii="Calibri" w:hAnsi="Calibri" w:eastAsia="Calibri" w:cs="Calibri"/>
          <w:color w:val="000000"/>
          <w:sz w:val="22"/>
          <w:szCs w:val="22"/>
        </w:rPr>
        <w:t xml:space="preserve">, 29–50.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prepared in 2011 by VL Muilenburg and DA Herms, Ohio Agricultural Research and Development Center, The Ohio State University, Wooster, OH, USA.</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datasheet was extensively revised and updated where needed in 2020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EPPO datasheets on pests recommended for regulation. Available online. </w:t>
      </w:r>
      <w:hyperlink r:id="rId406168049b36e89d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2011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(2011) </w:t>
      </w:r>
      <w:r>
        <w:rPr>
          <w:rFonts w:ascii="Calibri" w:hAnsi="Calibri" w:eastAsia="Calibri" w:cs="Calibri"/>
          <w:i/>
          <w:iCs/>
          <w:color w:val="000000"/>
          <w:sz w:val="22"/>
          <w:szCs w:val="22"/>
        </w:rPr>
        <w:t xml:space="preserve">Agrilus anxius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(3), 409-413. </w:t>
      </w:r>
      <w:hyperlink r:id="rId304068049b36e8ae3" w:history="1">
        <w:r>
          <w:rPr>
            <w:rFonts w:ascii="Calibri" w:hAnsi="Calibri" w:eastAsia="Calibri" w:cs="Calibri"/>
            <w:color w:val="0000CC"/>
            <w:sz w:val="22"/>
            <w:szCs w:val="22"/>
            <w:u w:val="single"/>
          </w:rPr>
          <w:t xml:space="preserve">https://doi.org/10.1111/j.1365-2338.2011.02510.x</w:t>
        </w:r>
      </w:hyperlink>
      <w:r>
        <w:rPr>
          <w:rFonts w:ascii="Calibri" w:hAnsi="Calibri" w:eastAsia="Calibri" w:cs="Calibri"/>
          <w:color w:val="000000"/>
          <w:sz w:val="22"/>
          <w:szCs w:val="22"/>
        </w:rPr>
        <w:t xml:space="preserve"> </w:t>
      </w:r>
    </w:p>
    <w:p>
      <w:r>
        <w:drawing>
          <wp:inline distT="0" distB="0" distL="0" distR="0">
            <wp:extent cx="1800000" cy="604800"/>
            <wp:docPr id="2588476" name="name851168049b36e8b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36468049b36e8b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75302">
    <w:multiLevelType w:val="hybridMultilevel"/>
    <w:lvl w:ilvl="0" w:tplc="10042379">
      <w:start w:val="1"/>
      <w:numFmt w:val="decimal"/>
      <w:lvlText w:val="%1."/>
      <w:lvlJc w:val="left"/>
      <w:pPr>
        <w:ind w:left="720" w:hanging="360"/>
      </w:pPr>
    </w:lvl>
    <w:lvl w:ilvl="1" w:tplc="10042379" w:tentative="1">
      <w:start w:val="1"/>
      <w:numFmt w:val="lowerLetter"/>
      <w:lvlText w:val="%2."/>
      <w:lvlJc w:val="left"/>
      <w:pPr>
        <w:ind w:left="1440" w:hanging="360"/>
      </w:pPr>
    </w:lvl>
    <w:lvl w:ilvl="2" w:tplc="10042379" w:tentative="1">
      <w:start w:val="1"/>
      <w:numFmt w:val="lowerRoman"/>
      <w:lvlText w:val="%3."/>
      <w:lvlJc w:val="right"/>
      <w:pPr>
        <w:ind w:left="2160" w:hanging="180"/>
      </w:pPr>
    </w:lvl>
    <w:lvl w:ilvl="3" w:tplc="10042379" w:tentative="1">
      <w:start w:val="1"/>
      <w:numFmt w:val="decimal"/>
      <w:lvlText w:val="%4."/>
      <w:lvlJc w:val="left"/>
      <w:pPr>
        <w:ind w:left="2880" w:hanging="360"/>
      </w:pPr>
    </w:lvl>
    <w:lvl w:ilvl="4" w:tplc="10042379" w:tentative="1">
      <w:start w:val="1"/>
      <w:numFmt w:val="lowerLetter"/>
      <w:lvlText w:val="%5."/>
      <w:lvlJc w:val="left"/>
      <w:pPr>
        <w:ind w:left="3600" w:hanging="360"/>
      </w:pPr>
    </w:lvl>
    <w:lvl w:ilvl="5" w:tplc="10042379" w:tentative="1">
      <w:start w:val="1"/>
      <w:numFmt w:val="lowerRoman"/>
      <w:lvlText w:val="%6."/>
      <w:lvlJc w:val="right"/>
      <w:pPr>
        <w:ind w:left="4320" w:hanging="180"/>
      </w:pPr>
    </w:lvl>
    <w:lvl w:ilvl="6" w:tplc="10042379" w:tentative="1">
      <w:start w:val="1"/>
      <w:numFmt w:val="decimal"/>
      <w:lvlText w:val="%7."/>
      <w:lvlJc w:val="left"/>
      <w:pPr>
        <w:ind w:left="5040" w:hanging="360"/>
      </w:pPr>
    </w:lvl>
    <w:lvl w:ilvl="7" w:tplc="10042379" w:tentative="1">
      <w:start w:val="1"/>
      <w:numFmt w:val="lowerLetter"/>
      <w:lvlText w:val="%8."/>
      <w:lvlJc w:val="left"/>
      <w:pPr>
        <w:ind w:left="5760" w:hanging="360"/>
      </w:pPr>
    </w:lvl>
    <w:lvl w:ilvl="8" w:tplc="10042379" w:tentative="1">
      <w:start w:val="1"/>
      <w:numFmt w:val="lowerRoman"/>
      <w:lvlText w:val="%9."/>
      <w:lvlJc w:val="right"/>
      <w:pPr>
        <w:ind w:left="6480" w:hanging="180"/>
      </w:pPr>
    </w:lvl>
  </w:abstractNum>
  <w:abstractNum w:abstractNumId="36875301">
    <w:multiLevelType w:val="hybridMultilevel"/>
    <w:lvl w:ilvl="0" w:tplc="39100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75301">
    <w:abstractNumId w:val="36875301"/>
  </w:num>
  <w:num w:numId="36875302">
    <w:abstractNumId w:val="368753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7083822" Type="http://schemas.microsoft.com/office/2011/relationships/commentsExtended" Target="commentsExtended.xml"/><Relationship Id="rId661220820" Type="http://schemas.microsoft.com/office/2011/relationships/people" Target="people.xml"/><Relationship Id="rId245368049b36e3115" Type="http://schemas.openxmlformats.org/officeDocument/2006/relationships/hyperlink" Target="https://gd.eppo.int/taxon/AGRLAX/" TargetMode="External"/><Relationship Id="rId207568049b36e3198" Type="http://schemas.openxmlformats.org/officeDocument/2006/relationships/hyperlink" Target="https://gd.eppo.int/taxon/AGRLAX/categorization" TargetMode="External"/><Relationship Id="rId314668049b36e3c17" Type="http://schemas.openxmlformats.org/officeDocument/2006/relationships/hyperlink" Target="https://gd.eppo.int/taxon/AGRLAX/photos" TargetMode="External"/><Relationship Id="rId694068049b36e76c2" Type="http://schemas.openxmlformats.org/officeDocument/2006/relationships/hyperlink" Target="http://www.emeraldashborer.info/documents/Multistate_EAB_Insecticide_Fact_Sheet.pdf" TargetMode="External"/><Relationship Id="rId406168049b36e89d2" Type="http://schemas.openxmlformats.org/officeDocument/2006/relationships/hyperlink" Target="https://gd.eppo.int" TargetMode="External"/><Relationship Id="rId304068049b36e8ae3" Type="http://schemas.openxmlformats.org/officeDocument/2006/relationships/hyperlink" Target="https://doi.org/10.1111/j.1365-2338.2011.02510.x" TargetMode="External"/><Relationship Id="rId287568049b36e3a94" Type="http://schemas.openxmlformats.org/officeDocument/2006/relationships/image" Target="media/imgrId287568049b36e3a94.jpg"/><Relationship Id="rId344168049b36e5061" Type="http://schemas.openxmlformats.org/officeDocument/2006/relationships/image" Target="media/imgrId344168049b36e5061.jpg"/><Relationship Id="rId736468049b36e8ba0" Type="http://schemas.openxmlformats.org/officeDocument/2006/relationships/image" Target="media/imgrId736468049b36e8b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