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spiniferus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spiniferus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cheni</w:t>
            </w:r>
            <w:r>
              <w:rPr>
                <w:rFonts w:ascii="Calibri" w:hAnsi="Calibri" w:eastAsia="Calibri" w:cs="Calibri"/>
                <w:color w:val="000000"/>
                <w:position w:val="-3"/>
                <w:sz w:val="22"/>
                <w:szCs w:val="22"/>
              </w:rPr>
              <w:t xml:space="preserve"> Young, </w:t>
            </w:r>
            <w:r>
              <w:rPr>
                <w:rFonts w:ascii="Calibri" w:hAnsi="Calibri" w:eastAsia="Calibri" w:cs="Calibri"/>
                <w:i/>
                <w:iCs/>
                <w:color w:val="000000"/>
                <w:position w:val="-3"/>
                <w:sz w:val="22"/>
                <w:szCs w:val="22"/>
              </w:rPr>
              <w:t xml:space="preserve">Aleurocanthus citricolus</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Aleurocanthus rosae</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Aleurodes citricola</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Aleurodes spinifera</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mealywing, citrus spiny whitefly, orange spiny whitefly, spiny blackfly</w:t>
            </w:r>
            <w:hyperlink r:id="rId1312669e76d27c46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631669e76d27c4d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ALECSN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683068" name="name5144669e76d27ccd9" descr="1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9.jpg"/>
                          <pic:cNvPicPr/>
                        </pic:nvPicPr>
                        <pic:blipFill>
                          <a:blip r:embed="rId1947669e76d27ccd7" cstate="print"/>
                          <a:stretch>
                            <a:fillRect/>
                          </a:stretch>
                        </pic:blipFill>
                        <pic:spPr>
                          <a:xfrm>
                            <a:off x="0" y="0"/>
                            <a:ext cx="2160000" cy="1281600"/>
                          </a:xfrm>
                          <a:prstGeom prst="rect">
                            <a:avLst/>
                          </a:prstGeom>
                          <a:ln w="0">
                            <a:noFill/>
                          </a:ln>
                        </pic:spPr>
                      </pic:pic>
                    </a:graphicData>
                  </a:graphic>
                </wp:inline>
              </w:drawing>
            </w:r>
            <w:hyperlink r:id="rId9883669e76d27ce2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grouped two different taxa for several years, until the description of </w:t>
      </w:r>
      <w:r>
        <w:rPr>
          <w:rFonts w:ascii="Calibri" w:hAnsi="Calibri" w:eastAsia="Calibri" w:cs="Calibri"/>
          <w:i/>
          <w:iCs/>
          <w:color w:val="000000"/>
          <w:sz w:val="22"/>
          <w:szCs w:val="22"/>
        </w:rPr>
        <w:t xml:space="preserve">Aleurocanthus camelliae</w:t>
      </w:r>
      <w:r>
        <w:rPr>
          <w:rFonts w:ascii="Calibri" w:hAnsi="Calibri" w:eastAsia="Calibri" w:cs="Calibri"/>
          <w:color w:val="000000"/>
          <w:sz w:val="22"/>
          <w:szCs w:val="22"/>
        </w:rPr>
        <w:t xml:space="preserve"> Kanmiya &amp; Kasai in Kanmiya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was published. Thus, previous records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include records of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especially for populations infesting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economic importance but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been recorded on other crops, for example grapes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and roses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throughout much of the Asian range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possibly shares many of its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longiracemosa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Aphananthe philippinensis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championii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virgata var. densiglomerata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zollingeriana var. blinii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Entada phaseoloides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Flindersia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Macaranga tanarius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Maesa perlarius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Maranthes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Meliosma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kadsura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latoucheae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banksiae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x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siamea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Sloanea dasycarpa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nitidum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w:t>
      </w:r>
      <w:r>
        <w:rPr>
          <w:rFonts w:ascii="Calibri" w:hAnsi="Calibri" w:eastAsia="Calibri" w:cs="Calibri"/>
          <w:i/>
          <w:iCs/>
          <w:color w:val="000000"/>
          <w:sz w:val="22"/>
          <w:szCs w:val="22"/>
        </w:rPr>
        <w:t xml:space="preserve"> spiniferus</w:t>
      </w:r>
      <w:r>
        <w:rPr>
          <w:rFonts w:ascii="Calibri" w:hAnsi="Calibri" w:eastAsia="Calibri" w:cs="Calibri"/>
          <w:color w:val="000000"/>
          <w:sz w:val="22"/>
          <w:szCs w:val="22"/>
        </w:rPr>
        <w:t xml:space="preserve"> originated in tropical Asia and has spread widely into the Indian Ocean, Africa and the Pacific. Its range overlaps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many regions, but it has not been introduced into the American continent. In the EPPO region, it has been recorded in Southeast Europe where populations remain low. It was first recorded in Italy in 2008 (Porcelli, 2008) in the area of Supersano (Puglia region). Since then, it has also been found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the Campania, Lazio and Basilicata regions in Italy (EPPO, 2017/19). It has been found in Croatia (first record 2012) (Šimala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with a severe outbreak reported in Split Dalmatia County in 2019 (EPPO, 2020).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was first recorded in Greece (Corfu) in 2016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recorded from Montenegro (first record 2013: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Albania (first report 2020: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80437527" name="name8542669e76d27ee1b" descr="ALECS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SN_distribution_map.jpg"/>
                    <pic:cNvPicPr/>
                  </pic:nvPicPr>
                  <pic:blipFill>
                    <a:blip r:embed="rId2261669e76d27ee1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Croatia, France (mainland), Greece (mainland), Italy (mainland, Sicilia), Montenegro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Mauritius, Nigeria, Reunion,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China (Anhui, Aomen (Macau), Chongqing, Fujian, Guangdong, Guizhou, Hainan, Hubei, Hunan, Jiangsu, Jiangxi, Shandong, Sichuan, Xianggang (Hong Kong), Yunnan, Zhejiang), India (Andaman and Nicobar Islands, Assam, Bihar, Karnataka, Maharashtra, Tamil Nadu, Uttar Pradesh), Indonesia (Java, Sumatra), Iran, Japan (Honshu, Kyushu, Ryukyu Archipelago, Shikoku), Korea, Republic, Malaysia (Sabah, Sarawak, West),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Guam, Micronesia, Northern Mariana Islands,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be found throughout the year, but very limited breeding occurs during cold periods. In Asia, the stages that overwinter (eggs and early-instar larvae or pupa) vary with the region and the year. The biology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essentially similar to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(EPPO/CABI, 1996).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six developmental stages: the egg stage, four nymphal instars and the adult. All stages are found on the leaves. Eggs are laid in a spiral pattern on the underside of the leaf in batches of 12-22 (USDA, 1982; Byrne &amp; Bellows, 1991). Eggs hatch in 4 to 15 days depending on environmental conditions. The first instar nymphs are active, brown to black, with a flattened body and six legs. Upon hatching,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nymphs disperse by crawling for a short time, staying mainly on abaxial leaf surface to avoid strong sunlight. They then insert their mouthparts into the leaves and begin sucking phloem sap. Following this, the nymphs moult, losing their legs in the process, and become minute, flattened, oval bodies which attach to the leaf by their mouthparts. Immature stages often form dense colonies of up to several hundred individuals on a single leaf. After two more moults, the adults emerge from the last instar (called puparium). In Croatia, egg development takes 12-15 days (11-22 in Japan), the development of the stages 1 to 3 takes 36-43 days and development of the last instar (puparium) takes 12-17 days (7-34 in Japan)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Paladin Soče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Both sexes are winged and feed by sucking phloem sap. Depending on climatic conditions (mild temperatures and high relative humidity being optimal), the life cycle generally takes 2-4 months but there can be four (Japan) to six (Guam) overlapping generations a year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very similar species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development is favoured by temperatures of 20-34°C (optimum 25.6°C) and relative humidities of 70-80%. The species does not survive at temperatures below freezing and is not found in areas with temperatures of 43°C or over. The occurrence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on citrus in Kenya, at lower and higher altitudes respectively, suggests these species may differ in their ecological tolerances (CABI, 2018). It may also be noted that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further north in Asia than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(Jiangsu and Shandong provinces in China; Japan, Korean peninsula) (EFSA Plant Health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leaf undersides, mainly on the lower parts of the trees; the adults fly actively when disturbed. Leaves and fruit have spots of sticky, transparent honeydew, which become covered in black sooty mould fungus.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to kidney-shaped, 0.2 mm long, laid in a very characteristic spiral pattern, attached to the underside of leaves by a short pedicel; yellowish at first, turning darker to brown and black as the embryo develops.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6-legged, elongate, 0.315 x 0.153 mm, brown to black, with 2 long and several shorter,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no legs, ovate-convex, 0.4 x 0.3 mm, dark-brown to pale-black with yellow markings, with easily distinguished, radiating spiny filaments and a crenulated marginal edge.</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ovate, 0.66-0.525 mm, generally black with a rounded, greenish spot on the anterior part of the abdomen, spiny filaments obvious.</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 ‘puparium’: ovate, shiny-black, females 1.08-1.28 mm long x 0.8-1 mm wide, males smaller 0.75-0.8 x 0.52-0.58 mm. Dorsal surface with many long, acute glandular spines; insect surrounded by a white fringe of waxy secretion. Exuviae of earlier instars often remain stacked up on median area of immature insect.</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involves detailed microscopic study of external puparial morphology by a specialist.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be confused with each other since they only differ from one another in subtle characteristics. They might also be confused with several similar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that occur on citrus, including </w:t>
      </w:r>
      <w:r>
        <w:rPr>
          <w:rFonts w:ascii="Calibri" w:hAnsi="Calibri" w:eastAsia="Calibri" w:cs="Calibri"/>
          <w:i/>
          <w:iCs/>
          <w:color w:val="000000"/>
          <w:sz w:val="22"/>
          <w:szCs w:val="22"/>
        </w:rPr>
        <w:t xml:space="preserve">A. citriperdus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husaini </w:t>
      </w:r>
      <w:r>
        <w:rPr>
          <w:rFonts w:ascii="Calibri" w:hAnsi="Calibri" w:eastAsia="Calibri" w:cs="Calibri"/>
          <w:color w:val="000000"/>
          <w:sz w:val="22"/>
          <w:szCs w:val="22"/>
        </w:rPr>
        <w:t xml:space="preserve">(Schrader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Microscopic differences between puparia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are given in Jansen &amp; Porcelli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1.33-1.7 mm in length, males 0.96-1.33 mm long: at rest, the general appearance is metallic grey-blue, being the colour of the wings which cover most of the body; light markings on the wings appear to form a band across the middle of the red abdomen. The eyes are reddish-brown and the antennae and legs are white with pale-yellow markings.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Two haplotypes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from Italy, based on mtCOI partial gene, are described in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Primers used to amplify a 682bp fragment of the same gene are given in Uesugi &amp; Sato (2011) and PCR conditions in Uesugi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slightly modified protocol has been used by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2022) describes the characters to be used to distinguish species of interest within this taxonomically difﬁcult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can be used to capture adults, mainly in the citrus orchards. However, since adults and immature stages are present on above ground plant parts, Aleyrodidae can be detected more efficiently by visual observation (presence of sooty mould on leaves and fruits) and plant sampling (spiral egg masses and the three last larval instar stages being sessile), especially targeting the black puparia surrounded by a fringe of white wax and the adults with metallic grey-blue wings with white markings.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samples showing the presence of various stages or debris of the insects (e.g. adults, pre-imaginal whitefly stages, puparia or pupal cases) should be collected and placed in a labelled plastic bag together with a piece of slightly damp absorbent paper, kept in cool conditions and sent to a diagnostic laboratory as soon as possible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are capable of limited down-wind flight but this is not a major means of long-range dispersal (Meyerdink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The whiteflies are most likely to be moved between countries on planting material of citrus or other host species, or possibly on fruits (CABI, 2018).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have been intercepted on the leaves of infested host plants moving in international trade (e.g. USDA,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excretes copious amounts of sugary honeydew, which coats leaf and fruit surfaces. Sooty mould fungus develops on the honeydew, reducing respiration and photosynthesis and rendering plants and fruit unsightly and unsaleable (USDA, 1982). Badly affected foliage may drop and fruit set may be reduced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Nitrogen levels in infested leaves are reduced and young leaf growth is damaged by heavy infestations. Eventual death of heavily infested plants owing to sap loss and development of sooty mould may occur (USDA, 1982). It is one of the most destructive Aleyrodids attacking citrus in tropical Asia (USDA, 1982;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Australia, </w:t>
      </w:r>
      <w:r>
        <w:rPr>
          <w:rFonts w:ascii="Calibri" w:hAnsi="Calibri" w:eastAsia="Calibri" w:cs="Calibri"/>
          <w:i/>
          <w:iCs/>
          <w:color w:val="000000"/>
          <w:sz w:val="22"/>
          <w:szCs w:val="22"/>
        </w:rPr>
        <w:t xml:space="preserve">A. spiniferus </w:t>
      </w:r>
      <w:r>
        <w:rPr>
          <w:rFonts w:ascii="Calibri" w:hAnsi="Calibri" w:eastAsia="Calibri" w:cs="Calibri"/>
          <w:color w:val="000000"/>
          <w:sz w:val="22"/>
          <w:szCs w:val="22"/>
        </w:rPr>
        <w:t xml:space="preserve">is occasionally a pest on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also on several ornamental trees (Mifsud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Gillespie, 2012). In India,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can be a serious pest of roses (David &amp; Subramaniam, 1976; Cioffi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not been demonstrated that chemical control was effective on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but biological control, using hymenopteran parasites, has proved to be more economical and effective in several parts of the world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Clausen, 1978).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has been used to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Japan, in Hawaii (Clausen, 1978; Cioffi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Pohnpei, Federated States of Micronesia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in Southern Africa (van den Berg &amp; Greenland, 1997). The same parasitoid, together with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Silvestri, has also been used to successfully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Guam on citrus, but it was less successful on rose and grape (Clausen,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presents a risk to citrus in Mediterranean countries. It has a well-documented history of spread to new continents from its south-east Asian origin. Due to its small size and the potential of it moving and spreading via planting material and fruit further and repeated introductions are likely. For example, genetic analysis of samples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suggests that multiple introductions have occurred in Corfu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the distribution of citrus species in the EPPO region, it is predicted that the limits of the potential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the southern part, in particular the Mediterranean region. There is also a risk of establishment on other woody plantation crops growing in the southern part of the region in climatic conditions suitable for the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appears to be fairly well restricted by natural enemies in its native range, but is liable to cause damage if introduced into new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is on the EPPO A2 list and has recently been added to the EU Annex II B. The measures recommended by EPPO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would also be appropriate for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(EPPO/CABI, 1996). This would include that all host plants imported as planting material and as cut branches come from a nursery found to be free from the pest during the previous growing season. Additionally, plant material and cut branches of host plants shipped from countries where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should be fumigated. Fresh fruit of host plants should be imported with a phytosanitary certificate.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 </w:t>
      </w:r>
      <w:hyperlink r:id="rId4199669e76d27fd6d" w:history="1">
        <w:r>
          <w:rPr>
            <w:rFonts w:ascii="Calibri" w:hAnsi="Calibri" w:eastAsia="Calibri" w:cs="Calibri"/>
            <w:color w:val="0000CC"/>
            <w:sz w:val="22"/>
            <w:szCs w:val="22"/>
            <w:u w:val="single"/>
          </w:rPr>
          <w:t xml:space="preserve">https://doi.org/10.1146/annurev.ento.36.1.431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(2018)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Invasive Species Compendium. Wallingford, UK: CAB International. Available online: </w:t>
      </w:r>
      <w:hyperlink r:id="rId6084669e76d27fdc7"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26 August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Cioffi M, Cornara D, Corrado I, Jansen MGM, Porcelli F (2013) The status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spiniferus</w:t>
      </w:r>
      <w:r>
        <w:rPr>
          <w:rFonts w:ascii="Calibri" w:hAnsi="Calibri" w:eastAsia="Calibri" w:cs="Calibri"/>
          <w:color w:val="000000"/>
          <w:sz w:val="22"/>
          <w:szCs w:val="22"/>
        </w:rPr>
        <w:t xml:space="preserve"> from its unwanted introduction in Italy to date.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 273-281.</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(1978) Introduced parasites and predators of arthropod pests and weeds: a world review vi, 545 pp.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480. United States Department of Agriculture,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&amp; Subramaniam TR (1976) Studies on some Indian Aleyrodidae. </w:t>
      </w:r>
      <w:r>
        <w:rPr>
          <w:rFonts w:ascii="Calibri" w:hAnsi="Calibri" w:eastAsia="Calibri" w:cs="Calibri"/>
          <w:i/>
          <w:iCs/>
          <w:color w:val="000000"/>
          <w:sz w:val="22"/>
          <w:szCs w:val="22"/>
        </w:rPr>
        <w:t xml:space="preserve">Records of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133–233.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(EFSA PLH Panel), Bragard C, Dehnen-Schmutz K, Di Serio F, Gonthier P, Jacques M-A, Jaques Miret JA, Justesen AF, Magnusson CS, Milonas P, Navas-Cortes JA, Parnell S, Potting R, Reignault PL, Thulke H-H, Van der Werf W, Vicent Civera A, Yuen J, Zappala L, Navarro MN, Kertesz V, Czwienczek E and MacLeod A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31 pp. </w:t>
      </w:r>
      <w:hyperlink r:id="rId3389669e76d27ffa8" w:history="1">
        <w:r>
          <w:rPr>
            <w:rFonts w:ascii="Calibri" w:hAnsi="Calibri" w:eastAsia="Calibri" w:cs="Calibri"/>
            <w:color w:val="0000CC"/>
            <w:sz w:val="22"/>
            <w:szCs w:val="22"/>
            <w:u w:val="single"/>
          </w:rPr>
          <w:t xml:space="preserve">https://doi.org/10.2903/j.efsa.2018.5436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Available at: </w:t>
      </w:r>
      <w:hyperlink r:id="rId4455669e76d28004c"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August, 2020).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(2019/133)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(2017/157)EPPO (2002)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241-243. + addendum (EPPO, 2011 41, 422).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Gillespie PS (2012) A review of the whitefly genus Aleurocanthus Quaintance &amp; Baker (Hemiptera: Aleyrodidae) in Australia.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3252</w:t>
      </w:r>
      <w:r>
        <w:rPr>
          <w:rFonts w:ascii="Calibri" w:hAnsi="Calibri" w:eastAsia="Calibri" w:cs="Calibri"/>
          <w:color w:val="000000"/>
          <w:sz w:val="22"/>
          <w:szCs w:val="22"/>
        </w:rPr>
        <w:t xml:space="preserve">, 1-42</w:t>
      </w:r>
    </w:p>
    <w:p>
      <w:pPr>
        <w:widowControl w:val="on"/>
        <w:pBdr/>
        <w:spacing w:before="220" w:after="220" w:line="240" w:lineRule="auto"/>
        <w:ind w:left="0" w:right="0"/>
        <w:jc w:val="left"/>
      </w:pPr>
      <w:r>
        <w:rPr>
          <w:rFonts w:ascii="Calibri" w:hAnsi="Calibri" w:eastAsia="Calibri" w:cs="Calibri"/>
          <w:color w:val="000000"/>
          <w:sz w:val="22"/>
          <w:szCs w:val="22"/>
        </w:rPr>
        <w:t xml:space="preserve">Gyeltshen J, Hodges A, Hodges GS (2017) Orange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(Insecta: Hemiptera: Aleyrodidae). Department of Entomology and Nematology, UF/IFAS Extension, Gainesville (USA), pp. 1-4.</w:t>
      </w:r>
    </w:p>
    <w:p>
      <w:pPr>
        <w:widowControl w:val="on"/>
        <w:pBdr/>
        <w:spacing w:before="220" w:after="220" w:line="240" w:lineRule="auto"/>
        <w:ind w:left="0" w:right="0"/>
        <w:jc w:val="left"/>
      </w:pPr>
      <w:r>
        <w:rPr>
          <w:rFonts w:ascii="Calibri" w:hAnsi="Calibri" w:eastAsia="Calibri" w:cs="Calibri"/>
          <w:color w:val="000000"/>
          <w:sz w:val="22"/>
          <w:szCs w:val="22"/>
        </w:rPr>
        <w:t xml:space="preserve">Jansen M, Porcelli F (2018) </w:t>
      </w:r>
      <w:r>
        <w:rPr>
          <w:rFonts w:ascii="Calibri" w:hAnsi="Calibri" w:eastAsia="Calibri" w:cs="Calibri"/>
          <w:i/>
          <w:iCs/>
          <w:color w:val="000000"/>
          <w:sz w:val="22"/>
          <w:szCs w:val="22"/>
        </w:rPr>
        <w:t xml:space="preserve">Aleurocanthus camelliae </w:t>
      </w:r>
      <w:r>
        <w:rPr>
          <w:rFonts w:ascii="Calibri" w:hAnsi="Calibri" w:eastAsia="Calibri" w:cs="Calibri"/>
          <w:color w:val="000000"/>
          <w:sz w:val="22"/>
          <w:szCs w:val="22"/>
        </w:rPr>
        <w:t xml:space="preserve">(Hemiptera: Aleyrodidae), a species possibly new for the European fauna of a genus in great need of revision. </w:t>
      </w:r>
      <w:r>
        <w:rPr>
          <w:rFonts w:ascii="Calibri" w:hAnsi="Calibri" w:eastAsia="Calibri" w:cs="Calibri"/>
          <w:i/>
          <w:iCs/>
          <w:color w:val="000000"/>
          <w:sz w:val="22"/>
          <w:szCs w:val="22"/>
        </w:rPr>
        <w:t xml:space="preserve">Tijdschrift voor Entomologie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63–7</w:t>
      </w:r>
    </w:p>
    <w:p>
      <w:pPr>
        <w:widowControl w:val="on"/>
        <w:pBdr/>
        <w:spacing w:before="220" w:after="220" w:line="240" w:lineRule="auto"/>
        <w:ind w:left="0" w:right="0"/>
        <w:jc w:val="left"/>
      </w:pPr>
      <w:r>
        <w:rPr>
          <w:rFonts w:ascii="Calibri" w:hAnsi="Calibri" w:eastAsia="Calibri" w:cs="Calibri"/>
          <w:color w:val="000000"/>
          <w:sz w:val="22"/>
          <w:szCs w:val="22"/>
        </w:rPr>
        <w:t xml:space="preserve">Kanmiya K, Ueda S, Kasai A, Yamashita K, Sato Y, Yoshiyasu S Yoshiyasu Y (2011) Proposal of new specific status for tea-infesting populations of the nominal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2797</w:t>
      </w:r>
      <w:r>
        <w:rPr>
          <w:rFonts w:ascii="Calibri" w:hAnsi="Calibri" w:eastAsia="Calibri" w:cs="Calibri"/>
          <w:color w:val="000000"/>
          <w:sz w:val="22"/>
          <w:szCs w:val="22"/>
        </w:rPr>
        <w:t xml:space="preserve">, 25-44. </w:t>
      </w:r>
      <w:hyperlink r:id="rId7507669e76d2803a2" w:history="1">
        <w:r>
          <w:rPr>
            <w:rFonts w:ascii="Calibri" w:hAnsi="Calibri" w:eastAsia="Calibri" w:cs="Calibri"/>
            <w:color w:val="0000CC"/>
            <w:sz w:val="22"/>
            <w:szCs w:val="22"/>
            <w:u w:val="single"/>
          </w:rPr>
          <w:t xml:space="preserve">https://doi.org/10.11646/zootaxa.2797.1.3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Kapantaidaki DE, Antonatos S, Kontodimas D, Milonas P, Papachristos DP (2019) Presence of the invasive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Greece.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Lin HC, Wei HL, Tao CC (1975)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Integrated control of citrus spiny white 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&amp; Baker (Homoptera: Aleyrodidae). </w:t>
      </w:r>
      <w:r>
        <w:rPr>
          <w:rFonts w:ascii="Calibri" w:hAnsi="Calibri" w:eastAsia="Calibri" w:cs="Calibri"/>
          <w:i/>
          <w:iCs/>
          <w:color w:val="000000"/>
          <w:sz w:val="22"/>
          <w:szCs w:val="22"/>
        </w:rPr>
        <w:t xml:space="preserve">Journal</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Agricultural Research</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China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55–61.</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Meyerdink DE, Hart WG, Burnside J (1979) Marking and dispersal study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325-329.</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Cocquempot C, Mühlethaler R, Wilson M, Streito JC (2010) Other Hemiptera Sternorrhyncha (Aleyrodidae, Phylloxeroidea, and Psylloidea) and Hemiptera Auchenorrhyncha. Chapter 9.4. In: Roques A et al. (Eds) Alien terrestrial arthropods of Europe. </w:t>
      </w:r>
      <w:r>
        <w:rPr>
          <w:rFonts w:ascii="Calibri" w:hAnsi="Calibri" w:eastAsia="Calibri" w:cs="Calibri"/>
          <w:i/>
          <w:iCs/>
          <w:color w:val="000000"/>
          <w:sz w:val="22"/>
          <w:szCs w:val="22"/>
        </w:rPr>
        <w:t xml:space="preserve">BioRisk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511-552.</w:t>
      </w:r>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Marutani M, Esguerra N (1992) Establishment of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(Hymenoptera: Aphelinidae) on Pohnpei for control of the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(Homoptera: Aleyrodidae).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243.</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Laudonia S, Jesu G, Jansen MGM, Bernardo U, Porcelli F (2020)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some European countries: diffusion, hosts, molecular characterization, and natural enemies.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42.</w:t>
      </w:r>
    </w:p>
    <w:p>
      <w:pPr>
        <w:widowControl w:val="on"/>
        <w:pBdr/>
        <w:spacing w:before="220" w:after="220" w:line="240" w:lineRule="auto"/>
        <w:ind w:left="0" w:right="0"/>
        <w:jc w:val="left"/>
      </w:pPr>
      <w:r>
        <w:rPr>
          <w:rFonts w:ascii="Calibri" w:hAnsi="Calibri" w:eastAsia="Calibri" w:cs="Calibri"/>
          <w:color w:val="000000"/>
          <w:sz w:val="22"/>
          <w:szCs w:val="22"/>
        </w:rPr>
        <w:t xml:space="preserve">Paladin Soče I, Šimala M, Gotlin Čuljak T (2020) Trnoviti štitasti moljac agruma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1903) u Dubrovačko-Neretvanskoj županiji. </w:t>
      </w:r>
      <w:r>
        <w:rPr>
          <w:rFonts w:ascii="Calibri" w:hAnsi="Calibri" w:eastAsia="Calibri" w:cs="Calibri"/>
          <w:i/>
          <w:iCs/>
          <w:color w:val="000000"/>
          <w:sz w:val="22"/>
          <w:szCs w:val="22"/>
        </w:rPr>
        <w:t xml:space="preserve">Glasilo biljne zaštite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441-448.</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(2008)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(Homoptera: Aleyrodidae) in Apulia, Southern Italy. </w:t>
      </w:r>
      <w:r>
        <w:rPr>
          <w:rFonts w:ascii="Calibri" w:hAnsi="Calibri" w:eastAsia="Calibri" w:cs="Calibri"/>
          <w:i/>
          <w:iCs/>
          <w:color w:val="000000"/>
          <w:sz w:val="22"/>
          <w:szCs w:val="22"/>
        </w:rPr>
        <w:t xml:space="preserve">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516-518.</w:t>
      </w:r>
    </w:p>
    <w:p>
      <w:pPr>
        <w:widowControl w:val="on"/>
        <w:pBdr/>
        <w:spacing w:before="220" w:after="220" w:line="240" w:lineRule="auto"/>
        <w:ind w:left="0" w:right="0"/>
        <w:jc w:val="left"/>
      </w:pPr>
      <w:r>
        <w:rPr>
          <w:rFonts w:ascii="Calibri" w:hAnsi="Calibri" w:eastAsia="Calibri" w:cs="Calibri"/>
          <w:color w:val="000000"/>
          <w:sz w:val="22"/>
          <w:szCs w:val="22"/>
        </w:rPr>
        <w:t xml:space="preserve">Radonjić S, Hrnčić S, Malumphy C (2014)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(Hemiptera Aleyrodidae) in Montenegro.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Camilleri M, Diakaki RMCM, Vos S (2018)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w:t>
      </w:r>
      <w:hyperlink r:id="rId4603669e76d280907" w:history="1">
        <w:r>
          <w:rPr>
            <w:rFonts w:ascii="Calibri" w:hAnsi="Calibri" w:eastAsia="Calibri" w:cs="Calibri"/>
            <w:color w:val="0000CC"/>
            <w:sz w:val="22"/>
            <w:szCs w:val="22"/>
            <w:u w:val="single"/>
          </w:rPr>
          <w:t xml:space="preserve">https://doi.org/10.2903/sp.efsa.EN-1565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Šimala, M, Masten Milek T Pintar M (2015). The whitefly species (Hemiptera, Aleyrodidae) with dark puparium and pupal case recorded in Croatia. </w:t>
      </w:r>
      <w:r>
        <w:rPr>
          <w:rFonts w:ascii="Calibri" w:hAnsi="Calibri" w:eastAsia="Calibri" w:cs="Calibri"/>
          <w:i/>
          <w:iCs/>
          <w:color w:val="000000"/>
          <w:sz w:val="22"/>
          <w:szCs w:val="22"/>
        </w:rPr>
        <w:t xml:space="preserve">Natura Croatica,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(1), 111-125. </w:t>
      </w:r>
      <w:hyperlink r:id="rId3865669e76d280972" w:history="1">
        <w:r>
          <w:rPr>
            <w:rFonts w:ascii="Calibri" w:hAnsi="Calibri" w:eastAsia="Calibri" w:cs="Calibri"/>
            <w:color w:val="0000CC"/>
            <w:sz w:val="22"/>
            <w:szCs w:val="22"/>
            <w:u w:val="single"/>
          </w:rPr>
          <w:t xml:space="preserve">https://doi.org/10.20302/NC.2015.24.6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(2011) Differentiation of the tea-infesting population of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from the citrus-infesting population in Japan on the basis of differences in the mitochondrial cytochrome c oxidase subunit I gene.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155-161. </w:t>
      </w:r>
      <w:hyperlink r:id="rId3470669e76d280a05" w:history="1">
        <w:r>
          <w:rPr>
            <w:rFonts w:ascii="Calibri" w:hAnsi="Calibri" w:eastAsia="Calibri" w:cs="Calibri"/>
            <w:color w:val="0000CC"/>
            <w:sz w:val="22"/>
            <w:szCs w:val="22"/>
            <w:u w:val="single"/>
          </w:rPr>
          <w:t xml:space="preserve">https://doi.org/10.1303/jjaez.2011.155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Han BY, Huang ZD, Yara K Furuhashi K (2016) Molecular evidence for multiple phylogenetic groups within two species of invasive spiny whiteflies and their parasitoid wasp.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328-340.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(1982) Pests not known to occur in the United States or of limited distribution. No. 14.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USDA APHIS-PPQ, Beltsville,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(1988) List of intercepted plant pests: Fiscal Year 1987.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82-14, 194 pp. United States Department of Agriculture, Animal and Plant Health Inspection Service,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Greenland J (1997) Classical biological control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 Aleyrodidae), on citrus in southern Africa.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459-465.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David Ouvrard.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datasheets on pests recommended for regulation. Available online. </w:t>
      </w:r>
      <w:hyperlink r:id="rId9532669e76d280c2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2049971" name="name2740669e76d280d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94669e76d280d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94938">
    <w:multiLevelType w:val="hybridMultilevel"/>
    <w:lvl w:ilvl="0" w:tplc="33384821">
      <w:start w:val="1"/>
      <w:numFmt w:val="decimal"/>
      <w:lvlText w:val="%1."/>
      <w:lvlJc w:val="left"/>
      <w:pPr>
        <w:ind w:left="720" w:hanging="360"/>
      </w:pPr>
    </w:lvl>
    <w:lvl w:ilvl="1" w:tplc="33384821" w:tentative="1">
      <w:start w:val="1"/>
      <w:numFmt w:val="lowerLetter"/>
      <w:lvlText w:val="%2."/>
      <w:lvlJc w:val="left"/>
      <w:pPr>
        <w:ind w:left="1440" w:hanging="360"/>
      </w:pPr>
    </w:lvl>
    <w:lvl w:ilvl="2" w:tplc="33384821" w:tentative="1">
      <w:start w:val="1"/>
      <w:numFmt w:val="lowerRoman"/>
      <w:lvlText w:val="%3."/>
      <w:lvlJc w:val="right"/>
      <w:pPr>
        <w:ind w:left="2160" w:hanging="180"/>
      </w:pPr>
    </w:lvl>
    <w:lvl w:ilvl="3" w:tplc="33384821" w:tentative="1">
      <w:start w:val="1"/>
      <w:numFmt w:val="decimal"/>
      <w:lvlText w:val="%4."/>
      <w:lvlJc w:val="left"/>
      <w:pPr>
        <w:ind w:left="2880" w:hanging="360"/>
      </w:pPr>
    </w:lvl>
    <w:lvl w:ilvl="4" w:tplc="33384821" w:tentative="1">
      <w:start w:val="1"/>
      <w:numFmt w:val="lowerLetter"/>
      <w:lvlText w:val="%5."/>
      <w:lvlJc w:val="left"/>
      <w:pPr>
        <w:ind w:left="3600" w:hanging="360"/>
      </w:pPr>
    </w:lvl>
    <w:lvl w:ilvl="5" w:tplc="33384821" w:tentative="1">
      <w:start w:val="1"/>
      <w:numFmt w:val="lowerRoman"/>
      <w:lvlText w:val="%6."/>
      <w:lvlJc w:val="right"/>
      <w:pPr>
        <w:ind w:left="4320" w:hanging="180"/>
      </w:pPr>
    </w:lvl>
    <w:lvl w:ilvl="6" w:tplc="33384821" w:tentative="1">
      <w:start w:val="1"/>
      <w:numFmt w:val="decimal"/>
      <w:lvlText w:val="%7."/>
      <w:lvlJc w:val="left"/>
      <w:pPr>
        <w:ind w:left="5040" w:hanging="360"/>
      </w:pPr>
    </w:lvl>
    <w:lvl w:ilvl="7" w:tplc="33384821" w:tentative="1">
      <w:start w:val="1"/>
      <w:numFmt w:val="lowerLetter"/>
      <w:lvlText w:val="%8."/>
      <w:lvlJc w:val="left"/>
      <w:pPr>
        <w:ind w:left="5760" w:hanging="360"/>
      </w:pPr>
    </w:lvl>
    <w:lvl w:ilvl="8" w:tplc="33384821" w:tentative="1">
      <w:start w:val="1"/>
      <w:numFmt w:val="lowerRoman"/>
      <w:lvlText w:val="%9."/>
      <w:lvlJc w:val="right"/>
      <w:pPr>
        <w:ind w:left="6480" w:hanging="180"/>
      </w:pPr>
    </w:lvl>
  </w:abstractNum>
  <w:abstractNum w:abstractNumId="44894937">
    <w:multiLevelType w:val="hybridMultilevel"/>
    <w:lvl w:ilvl="0" w:tplc="404882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94937">
    <w:abstractNumId w:val="44894937"/>
  </w:num>
  <w:num w:numId="44894938">
    <w:abstractNumId w:val="448949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9515840" Type="http://schemas.microsoft.com/office/2011/relationships/commentsExtended" Target="commentsExtended.xml"/><Relationship Id="rId272718994" Type="http://schemas.microsoft.com/office/2011/relationships/people" Target="people.xml"/><Relationship Id="rId1312669e76d27c46f" Type="http://schemas.openxmlformats.org/officeDocument/2006/relationships/hyperlink" Target="https://gd.eppo.int/taxon/ALECSN/" TargetMode="External"/><Relationship Id="rId4631669e76d27c4da" Type="http://schemas.openxmlformats.org/officeDocument/2006/relationships/hyperlink" Target="https://gd.eppo.int/taxon/ALECSN/categorization" TargetMode="External"/><Relationship Id="rId9883669e76d27ce21" Type="http://schemas.openxmlformats.org/officeDocument/2006/relationships/hyperlink" Target="https://gd.eppo.int/taxon/ALECSN/photos" TargetMode="External"/><Relationship Id="rId4199669e76d27fd6d" Type="http://schemas.openxmlformats.org/officeDocument/2006/relationships/hyperlink" Target="https://doi.org/10.1146/annurev.ento.36.1.431" TargetMode="External"/><Relationship Id="rId6084669e76d27fdc7" Type="http://schemas.openxmlformats.org/officeDocument/2006/relationships/hyperlink" Target="https://www.cabi.org/ISC/datasheet/4137" TargetMode="External"/><Relationship Id="rId3389669e76d27ffa8" Type="http://schemas.openxmlformats.org/officeDocument/2006/relationships/hyperlink" Target="https://doi.org/10.2903/j.efsa.2018.5436" TargetMode="External"/><Relationship Id="rId4455669e76d28004c" Type="http://schemas.openxmlformats.org/officeDocument/2006/relationships/hyperlink" Target="https://gd.eppo.int/" TargetMode="External"/><Relationship Id="rId7507669e76d2803a2" Type="http://schemas.openxmlformats.org/officeDocument/2006/relationships/hyperlink" Target="https://doi.org/10.11646/zootaxa.2797.1.3" TargetMode="External"/><Relationship Id="rId4603669e76d280907" Type="http://schemas.openxmlformats.org/officeDocument/2006/relationships/hyperlink" Target="https://doi.org/10.2903/sp.efsa.EN-1565" TargetMode="External"/><Relationship Id="rId3865669e76d280972" Type="http://schemas.openxmlformats.org/officeDocument/2006/relationships/hyperlink" Target="https://doi.org/10.20302/NC.2015.24.6" TargetMode="External"/><Relationship Id="rId3470669e76d280a05" Type="http://schemas.openxmlformats.org/officeDocument/2006/relationships/hyperlink" Target="https://doi.org/10.1303/jjaez.2011.155" TargetMode="External"/><Relationship Id="rId9532669e76d280c2c" Type="http://schemas.openxmlformats.org/officeDocument/2006/relationships/hyperlink" Target="https://gd.eppo.int" TargetMode="External"/><Relationship Id="rId1947669e76d27ccd7" Type="http://schemas.openxmlformats.org/officeDocument/2006/relationships/image" Target="media/imgrId1947669e76d27ccd7.jpg"/><Relationship Id="rId2261669e76d27ee18" Type="http://schemas.openxmlformats.org/officeDocument/2006/relationships/image" Target="media/imgrId2261669e76d27ee18.jpg"/><Relationship Id="rId8294669e76d280d96" Type="http://schemas.openxmlformats.org/officeDocument/2006/relationships/image" Target="media/imgrId8294669e76d280d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