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spiniferus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spiniferus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cheni</w:t>
            </w:r>
            <w:r>
              <w:rPr>
                <w:rFonts w:ascii="Calibri" w:hAnsi="Calibri" w:eastAsia="Calibri" w:cs="Calibri"/>
                <w:color w:val="000000"/>
                <w:position w:val="-3"/>
                <w:sz w:val="22"/>
                <w:szCs w:val="22"/>
              </w:rPr>
              <w:t xml:space="preserve"> Young, </w:t>
            </w:r>
            <w:r>
              <w:rPr>
                <w:rFonts w:ascii="Calibri" w:hAnsi="Calibri" w:eastAsia="Calibri" w:cs="Calibri"/>
                <w:i/>
                <w:iCs/>
                <w:color w:val="000000"/>
                <w:position w:val="-3"/>
                <w:sz w:val="22"/>
                <w:szCs w:val="22"/>
              </w:rPr>
              <w:t xml:space="preserve">Aleurocanthus citricolus</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Aleurocanthus rosae</w:t>
            </w:r>
            <w:r>
              <w:rPr>
                <w:rFonts w:ascii="Calibri" w:hAnsi="Calibri" w:eastAsia="Calibri" w:cs="Calibri"/>
                <w:color w:val="000000"/>
                <w:position w:val="-3"/>
                <w:sz w:val="22"/>
                <w:szCs w:val="22"/>
              </w:rPr>
              <w:t xml:space="preserve"> Singh, </w:t>
            </w:r>
            <w:r>
              <w:rPr>
                <w:rFonts w:ascii="Calibri" w:hAnsi="Calibri" w:eastAsia="Calibri" w:cs="Calibri"/>
                <w:i/>
                <w:iCs/>
                <w:color w:val="000000"/>
                <w:position w:val="-3"/>
                <w:sz w:val="22"/>
                <w:szCs w:val="22"/>
              </w:rPr>
              <w:t xml:space="preserve">Aleurodes citricola</w:t>
            </w:r>
            <w:r>
              <w:rPr>
                <w:rFonts w:ascii="Calibri" w:hAnsi="Calibri" w:eastAsia="Calibri" w:cs="Calibri"/>
                <w:color w:val="000000"/>
                <w:position w:val="-3"/>
                <w:sz w:val="22"/>
                <w:szCs w:val="22"/>
              </w:rPr>
              <w:t xml:space="preserve"> Newstead, </w:t>
            </w:r>
            <w:r>
              <w:rPr>
                <w:rFonts w:ascii="Calibri" w:hAnsi="Calibri" w:eastAsia="Calibri" w:cs="Calibri"/>
                <w:i/>
                <w:iCs/>
                <w:color w:val="000000"/>
                <w:position w:val="-3"/>
                <w:sz w:val="22"/>
                <w:szCs w:val="22"/>
              </w:rPr>
              <w:t xml:space="preserve">Aleurodes spinifera</w:t>
            </w:r>
            <w:r>
              <w:rPr>
                <w:rFonts w:ascii="Calibri" w:hAnsi="Calibri" w:eastAsia="Calibri" w:cs="Calibri"/>
                <w:color w:val="000000"/>
                <w:position w:val="-3"/>
                <w:sz w:val="22"/>
                <w:szCs w:val="22"/>
              </w:rPr>
              <w:t xml:space="preserve"> Quaintance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citrus mealywing, citrus spiny whitefly, orange spiny whitefly, spiny blackfly</w:t>
            </w:r>
            <w:hyperlink r:id="rId124068042e17e07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06668042e17e085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ALECSN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659860" name="name899068042e17e106c" descr="11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69.jpg"/>
                          <pic:cNvPicPr/>
                        </pic:nvPicPr>
                        <pic:blipFill>
                          <a:blip r:embed="rId885568042e17e106a" cstate="print"/>
                          <a:stretch>
                            <a:fillRect/>
                          </a:stretch>
                        </pic:blipFill>
                        <pic:spPr>
                          <a:xfrm>
                            <a:off x="0" y="0"/>
                            <a:ext cx="2160000" cy="1281600"/>
                          </a:xfrm>
                          <a:prstGeom prst="rect">
                            <a:avLst/>
                          </a:prstGeom>
                          <a:ln w="0">
                            <a:noFill/>
                          </a:ln>
                        </pic:spPr>
                      </pic:pic>
                    </a:graphicData>
                  </a:graphic>
                </wp:inline>
              </w:drawing>
            </w:r>
            <w:hyperlink r:id="rId249068042e17e11c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grouped two different taxa for several years, until the description of </w:t>
      </w:r>
      <w:r>
        <w:rPr>
          <w:rFonts w:ascii="Calibri" w:hAnsi="Calibri" w:eastAsia="Calibri" w:cs="Calibri"/>
          <w:i/>
          <w:iCs/>
          <w:color w:val="000000"/>
          <w:sz w:val="22"/>
          <w:szCs w:val="22"/>
        </w:rPr>
        <w:t xml:space="preserve">Aleurocanthus camelliae</w:t>
      </w:r>
      <w:r>
        <w:rPr>
          <w:rFonts w:ascii="Calibri" w:hAnsi="Calibri" w:eastAsia="Calibri" w:cs="Calibri"/>
          <w:color w:val="000000"/>
          <w:sz w:val="22"/>
          <w:szCs w:val="22"/>
        </w:rPr>
        <w:t xml:space="preserve"> Kanmiya &amp; Kasai in Kanmiya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was published. Thus, previous records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include records of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especially for populations infesting tea (</w:t>
      </w:r>
      <w:r>
        <w:rPr>
          <w:rFonts w:ascii="Calibri" w:hAnsi="Calibri" w:eastAsia="Calibri" w:cs="Calibri"/>
          <w:i/>
          <w:iCs/>
          <w:color w:val="000000"/>
          <w:sz w:val="22"/>
          <w:szCs w:val="22"/>
        </w:rPr>
        <w:t xml:space="preserve">Camellia sinensis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economic importance but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been recorded on other crops, for example grapes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persimmons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and roses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throughout much of the Asian range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possibly shares many of its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longeracemosa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quinata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Akebia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Aphananthe philippinensis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championii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virgata var. densiglomerata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zollingeriana var. blinii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Cupaniopsis anacardioides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Entada phaseoloides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Erycibe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 jasminoides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Macaranga tanarius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perlarius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Maranthes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Meliosma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Mespilus germanica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Morella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Phoebe formosana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kadsura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latoucheae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banksiae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x damascena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siamea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Sloanea dasycarpa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Streblus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Toona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nitidum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w:t>
      </w:r>
      <w:r>
        <w:rPr>
          <w:rFonts w:ascii="Calibri" w:hAnsi="Calibri" w:eastAsia="Calibri" w:cs="Calibri"/>
          <w:i/>
          <w:iCs/>
          <w:color w:val="000000"/>
          <w:sz w:val="22"/>
          <w:szCs w:val="22"/>
        </w:rPr>
        <w:t xml:space="preserve"> spiniferus</w:t>
      </w:r>
      <w:r>
        <w:rPr>
          <w:rFonts w:ascii="Calibri" w:hAnsi="Calibri" w:eastAsia="Calibri" w:cs="Calibri"/>
          <w:color w:val="000000"/>
          <w:sz w:val="22"/>
          <w:szCs w:val="22"/>
        </w:rPr>
        <w:t xml:space="preserve"> originated in tropical Asia and has spread widely into the Indian Ocean, Africa and the Pacific. Its range overlaps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many regions, but it has not been introduced into the American continent. In the EPPO region, it has been recorded in Southeast Europe where populations remain low. It was first recorded in Italy in 2008 (Porcelli, 2008) in the area of Supersano (Puglia region). Since then, it has also been found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in the Campania, Lazio and Basilicata regions in Italy (EPPO, 2017/19). It has been found in Croatia (first record 2012) (Šimala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a severe outbreak reported in Split Dalmatia County in 2019 (EPPO, 2020).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was first recorded in Greece (Corfu) in 2016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It has also been recorded from Montenegro (first record 2013: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Albania (first report 2020: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81051071" name="name608868042e17e34ca" descr="ALECS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SN_distribution_map.jpg"/>
                    <pic:cNvPicPr/>
                  </pic:nvPicPr>
                  <pic:blipFill>
                    <a:blip r:embed="rId535968042e17e34c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Croatia, France (mainland, Corse), Georgia, Greece (mainland), Italy (mainland, Sicilia), Montenegro</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Mauritius, Nigeria, Reunion,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China (Anhui, Aomen (Macau), Chongqing, Fujian, Guangdong, Guizhou, Hainan, Hubei, Hunan, Jiangsu, Jiangxi, Shandong, Sichuan, Xianggang (Hong Kong), Yunnan, Zhejiang), India (Andaman and Nicobar Islands, Assam, Bihar, Karnataka, Maharashtra, Tamil Nadu, Uttar Pradesh), Indonesia (Java, Sumatra), Iran, Islamic Republic of, Japan (Honshu, Kyushu, Ryukyu Archipelago, Shikoku), Korea, Republic of, Malaysia (Sabah, Sarawak, West),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Guam, Micronesia, Federated States of, Northern Mariana Islands, Palau,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may be found throughout the year, but very limited breeding occurs during cold periods. In Asia, the stages that overwinter (eggs and early-instar larvae or pupa) vary with the region and the year. The biology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essentially similar to that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(EPPO/CABI, 1996).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has six developmental stages: the egg stage, four nymphal instars and the adult. All stages are found on the leaves. Eggs are laid in a spiral pattern on the underside of the leaf in batches of 12-22 (USDA, 1982; Byrne &amp; Bellows, 1991). Eggs hatch in 4 to 15 days depending on environmental conditions. The first instar nymphs are active, brown to black, with a flattened body and six legs. Upon hatching,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nymphs disperse by crawling for a short time, staying mainly on abaxial leaf surface to avoid strong sunlight. They then insert their mouthparts into the leaves and begin sucking phloem sap. Following this, the nymphs moult, losing their legs in the process, and become minute, flattened, oval bodies which attach to the leaf by their mouthparts. Immature stages often form dense colonies of up to several hundred individuals on a single leaf. After two more moults, the adults emerge from the last instar (called puparium). In Croatia, egg development takes 12-15 days (11-22 in Japan), the development of the stages 1 to 3 takes 36-43 days and development of the last instar (puparium) takes 12-17 days (7-34 in Japan)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Paladin Soče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Both sexes are winged and feed by sucking phloem sap. Depending on climatic conditions (mild temperatures and high relative humidity being optimal), the life cycle generally takes 2-4 months but there can be four (Japan) to six (Guam) overlapping generations a year (Gyeltshen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very similar species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development is favoured by temperatures of 20-34°C (optimum 25.6°C) and relative humidities of 70-80%. The species does not survive at temperatures below freezing and is not found in areas with temperatures of 43°C or over. The occurrence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on citrus in Kenya, at lower and higher altitudes respectively, suggests these species may differ in their ecological tolerances (CABI, 2018). It may also be noted that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further north in Asia than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(Jiangsu and Shandong provinces in China; Japan, Korean peninsula) (EFSA Plant Health Panel,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leaf undersides, mainly on the lower parts of the trees; the adults fly actively when disturbed. Leaves and fruit have spots of sticky, transparent honeydew, which become covered in black sooty mould fungus.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to kidney-shaped, 0.2 mm long, laid in a very characteristic spiral pattern, attached to the underside of leaves by a short pedicel; yellowish at first, turning darker to brown and black as the embryo develops.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6-legged, elongate, 0.315 x 0.153 mm, brown to black, with 2 long and several shorter,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no legs, ovate-convex, 0.4 x 0.3 mm, dark-brown to pale-black with yellow markings, with easily distinguished, radiating spiny filaments and a crenulated marginal edge.</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ovate, 0.66-0.525 mm, generally black with a rounded, greenish spot on the anterior part of the abdomen, spiny filaments obvious.</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 ‘puparium’: ovate, shiny-black, females 1.08-1.28 mm long x 0.8-1 mm wide, males smaller 0.75-0.8 x 0.52-0.58 mm. Dorsal surface with many long, acute glandular spines; insect surrounded by a white fringe of waxy secretion. Exuviae of earlier instars often remain stacked up on median area of immature insect.</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involves detailed microscopic study of external puparial morphology by a specialist.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be confused with each other since they only differ from one another in subtle characteristics. They might also be confused with several similar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that occur on citrus, including </w:t>
      </w:r>
      <w:r>
        <w:rPr>
          <w:rFonts w:ascii="Calibri" w:hAnsi="Calibri" w:eastAsia="Calibri" w:cs="Calibri"/>
          <w:i/>
          <w:iCs/>
          <w:color w:val="000000"/>
          <w:sz w:val="22"/>
          <w:szCs w:val="22"/>
        </w:rPr>
        <w:t xml:space="preserve">A. citriperdus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husaini </w:t>
      </w:r>
      <w:r>
        <w:rPr>
          <w:rFonts w:ascii="Calibri" w:hAnsi="Calibri" w:eastAsia="Calibri" w:cs="Calibri"/>
          <w:color w:val="000000"/>
          <w:sz w:val="22"/>
          <w:szCs w:val="22"/>
        </w:rPr>
        <w:t xml:space="preserve">(Schrader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Microscopic differences between puparia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camelliae</w:t>
      </w:r>
      <w:r>
        <w:rPr>
          <w:rFonts w:ascii="Calibri" w:hAnsi="Calibri" w:eastAsia="Calibri" w:cs="Calibri"/>
          <w:color w:val="000000"/>
          <w:sz w:val="22"/>
          <w:szCs w:val="22"/>
        </w:rPr>
        <w:t xml:space="preserve"> are given in Jansen &amp; Porcelli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1.33-1.7 mm in length, males 0.96-1.33 mm long: at rest, the general appearance is metallic grey-blue, being the colour of the wings which cover most of the body; light markings on the wings appear to form a band across the middle of the red abdomen. The eyes are reddish-brown and the antennae and legs are white with pale-yellow markings.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Two haplotypes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from Italy, based on mtCOI partial gene, are described in Nugnes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Primers used to amplify a 682bp fragment of the same gene are given in Uesugi &amp; Sato (2011) and PCR conditions in Uesugi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slightly modified protocol has been used by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2022) describes the characters to be used to distinguish species of interest within this taxonomically difﬁcult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 sticky traps can be used to capture adults, mainly in the citrus orchards. However, since adults and immature stages are present on above ground plant parts, Aleyrodidae can be detected more efficiently by visual observation (presence of sooty mould on leaves and fruits) and plant sampling (spiral egg masses and the three last larval instar stages being sessile), especially targeting the black puparia surrounded by a fringe of white wax and the adults with metallic grey-blue wings with white markings.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samples showing the presence of various stages or debris of the insects (e.g. adults, pre-imaginal whitefly stages, puparia or pupal cases) should be collected and placed in a labelled plastic bag together with a piece of slightly damp absorbent paper, kept in cool conditions and sent to a diagnostic laboratory as soon as possible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are capable of limited down-wind flight but this is not a major means of long-range dispersal (Meyerdink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The whiteflies are most likely to be moved between countries on planting material of citrus or other host species, or possibly on fruits (CABI, 2018).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have been intercepted on the leaves of infested host plants moving in international trade (e.g. USDA,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excretes copious amounts of sugary honeydew, which coats leaf and fruit surfaces. Sooty mould fungus develops on the honeydew, reducing respiration and photosynthesis and rendering plants and fruit unsightly and unsaleable (USDA, 1982). Badly affected foliage may drop and fruit set may be reduced (Radonjić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Nitrogen levels in infested leaves are reduced and young leaf growth is damaged by heavy infestations. Eventual death of heavily infested plants owing to sap loss and development of sooty mould may occur (USDA, 1982). It is one of the most destructive Aleyrodids attacking citrus in tropical Asia (USDA, 1982;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Australia, </w:t>
      </w:r>
      <w:r>
        <w:rPr>
          <w:rFonts w:ascii="Calibri" w:hAnsi="Calibri" w:eastAsia="Calibri" w:cs="Calibri"/>
          <w:i/>
          <w:iCs/>
          <w:color w:val="000000"/>
          <w:sz w:val="22"/>
          <w:szCs w:val="22"/>
        </w:rPr>
        <w:t xml:space="preserve">A. spiniferus </w:t>
      </w:r>
      <w:r>
        <w:rPr>
          <w:rFonts w:ascii="Calibri" w:hAnsi="Calibri" w:eastAsia="Calibri" w:cs="Calibri"/>
          <w:color w:val="000000"/>
          <w:sz w:val="22"/>
          <w:szCs w:val="22"/>
        </w:rPr>
        <w:t xml:space="preserve">is occasionally a pest on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also on several ornamental trees (Mifsud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Gillespie, 2012). In India,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can be a serious pest of roses (David &amp; Subramaniam, 1976; Cioffi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not been demonstrated that chemical control was effective on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but biological control, using hymenopteran parasites, has proved to be more economical and effective in several parts of the world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Clausen, 1978).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has been used to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Japan, in Hawaii (Clausen, 1978; Cioffi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Pohnpei, Federated States of Micronesia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and in Southern Africa (van den Berg &amp; Greenland, 1997). The same parasitoid, together with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Silvestri, has also been used to successfully control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Guam on citrus, but it was less successful on rose and grape (Clausen, 1978).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presents a risk to citrus in Mediterranean countries. It has a well-documented history of spread to new continents from its south-east Asian origin. Due to its small size and the potential of it moving and spreading via planting material and fruit further and repeated introductions are likely. For example, genetic analysis of samples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suggests that multiple introductions have occurred in Corfu (Kapantaidaki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current distribution and the distribution of citrus species in the EPPO region, it is predicted that the limits of the potential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is the southern part, in particular the Mediterranean region. There is also a risk of establishment on other woody plantation crops growing in the southern part of the region in climatic conditions suitable for the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appears to be fairly well restricted by natural enemies in its native range, but is liable to cause damage if introduced into new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is on the EPPO A2 list and has recently been added to the EU Annex II B. The measures recommended by EPPO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would also be appropriate for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(EPPO/CABI, 1996). This would include that all host plants imported as planting material and as cut branches come from a nursery found to be free from the pest during the previous growing season. Additionally, plant material and cut branches of host plants shipped from countries where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occurs should be fumigated. Fresh fruit of host plants should be imported with a phytosanitary certificate.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Byrne DN &amp; Bellows TS (1991) Whitefly biology.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431–457. </w:t>
      </w:r>
      <w:hyperlink r:id="rId483768042e17e43f1" w:history="1">
        <w:r>
          <w:rPr>
            <w:rFonts w:ascii="Calibri" w:hAnsi="Calibri" w:eastAsia="Calibri" w:cs="Calibri"/>
            <w:color w:val="0000CC"/>
            <w:sz w:val="22"/>
            <w:szCs w:val="22"/>
            <w:u w:val="single"/>
          </w:rPr>
          <w:t xml:space="preserve">https://doi.org/10.1146/annurev.ento.36.1.431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(2018)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Invasive Species Compendium. Wallingford, UK: CAB International. Available online: </w:t>
      </w:r>
      <w:hyperlink r:id="rId782168042e17e4451"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26 August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Cioffi M, Cornara D, Corrado I, Jansen MGM, Porcelli F (2013) The status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spiniferus</w:t>
      </w:r>
      <w:r>
        <w:rPr>
          <w:rFonts w:ascii="Calibri" w:hAnsi="Calibri" w:eastAsia="Calibri" w:cs="Calibri"/>
          <w:color w:val="000000"/>
          <w:sz w:val="22"/>
          <w:szCs w:val="22"/>
        </w:rPr>
        <w:t xml:space="preserve"> from its unwanted introduction in Italy to date.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 273-281.</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(1978) Introduced parasites and predators of arthropod pests and weeds: a world review vi, 545 pp.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480. United States Department of Agriculture,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&amp; Subramaniam TR (1976) Studies on some Indian Aleyrodidae. </w:t>
      </w:r>
      <w:r>
        <w:rPr>
          <w:rFonts w:ascii="Calibri" w:hAnsi="Calibri" w:eastAsia="Calibri" w:cs="Calibri"/>
          <w:i/>
          <w:iCs/>
          <w:color w:val="000000"/>
          <w:sz w:val="22"/>
          <w:szCs w:val="22"/>
        </w:rPr>
        <w:t xml:space="preserve">Records of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133–233.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(EFSA PLH Panel), Bragard C, Dehnen-Schmutz K, Di Serio F, Gonthier P, Jacques M-A, Jaques Miret JA, Justesen AF, Magnusson CS, Milonas P, Navas-Cortes JA, Parnell S, Potting R, Reignault PL, Thulke H-H, Van der Werf W, Vicent Civera A, Yuen J, Zappala L, Navarro MN, Kertesz V, Czwienczek E and MacLeod A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31 pp. </w:t>
      </w:r>
      <w:hyperlink r:id="rId821968042e17e461b" w:history="1">
        <w:r>
          <w:rPr>
            <w:rFonts w:ascii="Calibri" w:hAnsi="Calibri" w:eastAsia="Calibri" w:cs="Calibri"/>
            <w:color w:val="0000CC"/>
            <w:sz w:val="22"/>
            <w:szCs w:val="22"/>
            <w:u w:val="single"/>
          </w:rPr>
          <w:t xml:space="preserve">https://doi.org/10.2903/j.efsa.2018.5436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Available at: </w:t>
      </w:r>
      <w:hyperlink r:id="rId209068042e17e46bd"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26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August, 2020).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Reporting Service (2019/133)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Reporting Service (2017/157)EPPO (2002) PM 7/7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241-243. + addendum (EPPO, 2011 41, 422). </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Gillespie PS (2012) A review of the whitefly genus Aleurocanthus Quaintance &amp; Baker (Hemiptera: Aleyrodidae) in Australia.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3252</w:t>
      </w:r>
      <w:r>
        <w:rPr>
          <w:rFonts w:ascii="Calibri" w:hAnsi="Calibri" w:eastAsia="Calibri" w:cs="Calibri"/>
          <w:color w:val="000000"/>
          <w:sz w:val="22"/>
          <w:szCs w:val="22"/>
        </w:rPr>
        <w:t xml:space="preserve">, 1-42</w:t>
      </w:r>
    </w:p>
    <w:p>
      <w:pPr>
        <w:widowControl w:val="on"/>
        <w:pBdr/>
        <w:spacing w:before="220" w:after="220" w:line="240" w:lineRule="auto"/>
        <w:ind w:left="0" w:right="0"/>
        <w:jc w:val="left"/>
      </w:pPr>
      <w:r>
        <w:rPr>
          <w:rFonts w:ascii="Calibri" w:hAnsi="Calibri" w:eastAsia="Calibri" w:cs="Calibri"/>
          <w:color w:val="000000"/>
          <w:sz w:val="22"/>
          <w:szCs w:val="22"/>
        </w:rPr>
        <w:t xml:space="preserve">Gyeltshen J, Hodges A, Hodges GS (2017) Orange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(Insecta: Hemiptera: Aleyrodidae). Department of Entomology and Nematology, UF/IFAS Extension, Gainesville (USA), pp. 1-4.</w:t>
      </w:r>
    </w:p>
    <w:p>
      <w:pPr>
        <w:widowControl w:val="on"/>
        <w:pBdr/>
        <w:spacing w:before="220" w:after="220" w:line="240" w:lineRule="auto"/>
        <w:ind w:left="0" w:right="0"/>
        <w:jc w:val="left"/>
      </w:pPr>
      <w:r>
        <w:rPr>
          <w:rFonts w:ascii="Calibri" w:hAnsi="Calibri" w:eastAsia="Calibri" w:cs="Calibri"/>
          <w:color w:val="000000"/>
          <w:sz w:val="22"/>
          <w:szCs w:val="22"/>
        </w:rPr>
        <w:t xml:space="preserve">Jansen M, Porcelli F (2018) </w:t>
      </w:r>
      <w:r>
        <w:rPr>
          <w:rFonts w:ascii="Calibri" w:hAnsi="Calibri" w:eastAsia="Calibri" w:cs="Calibri"/>
          <w:i/>
          <w:iCs/>
          <w:color w:val="000000"/>
          <w:sz w:val="22"/>
          <w:szCs w:val="22"/>
        </w:rPr>
        <w:t xml:space="preserve">Aleurocanthus camelliae </w:t>
      </w:r>
      <w:r>
        <w:rPr>
          <w:rFonts w:ascii="Calibri" w:hAnsi="Calibri" w:eastAsia="Calibri" w:cs="Calibri"/>
          <w:color w:val="000000"/>
          <w:sz w:val="22"/>
          <w:szCs w:val="22"/>
        </w:rPr>
        <w:t xml:space="preserve">(Hemiptera: Aleyrodidae), a species possibly new for the European fauna of a genus in great need of revision. </w:t>
      </w:r>
      <w:r>
        <w:rPr>
          <w:rFonts w:ascii="Calibri" w:hAnsi="Calibri" w:eastAsia="Calibri" w:cs="Calibri"/>
          <w:i/>
          <w:iCs/>
          <w:color w:val="000000"/>
          <w:sz w:val="22"/>
          <w:szCs w:val="22"/>
        </w:rPr>
        <w:t xml:space="preserve">Tijdschrift voor Entomologie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63–7</w:t>
      </w:r>
    </w:p>
    <w:p>
      <w:pPr>
        <w:widowControl w:val="on"/>
        <w:pBdr/>
        <w:spacing w:before="220" w:after="220" w:line="240" w:lineRule="auto"/>
        <w:ind w:left="0" w:right="0"/>
        <w:jc w:val="left"/>
      </w:pPr>
      <w:r>
        <w:rPr>
          <w:rFonts w:ascii="Calibri" w:hAnsi="Calibri" w:eastAsia="Calibri" w:cs="Calibri"/>
          <w:color w:val="000000"/>
          <w:sz w:val="22"/>
          <w:szCs w:val="22"/>
        </w:rPr>
        <w:t xml:space="preserve">Kanmiya K, Ueda S, Kasai A, Yamashita K, Sato Y, Yoshiyasu S Yoshiyasu Y (2011) Proposal of new specific status for tea-infesting populations of the nominal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2797</w:t>
      </w:r>
      <w:r>
        <w:rPr>
          <w:rFonts w:ascii="Calibri" w:hAnsi="Calibri" w:eastAsia="Calibri" w:cs="Calibri"/>
          <w:color w:val="000000"/>
          <w:sz w:val="22"/>
          <w:szCs w:val="22"/>
        </w:rPr>
        <w:t xml:space="preserve">, 25-44. </w:t>
      </w:r>
      <w:hyperlink r:id="rId499668042e17e4a01" w:history="1">
        <w:r>
          <w:rPr>
            <w:rFonts w:ascii="Calibri" w:hAnsi="Calibri" w:eastAsia="Calibri" w:cs="Calibri"/>
            <w:color w:val="0000CC"/>
            <w:sz w:val="22"/>
            <w:szCs w:val="22"/>
            <w:u w:val="single"/>
          </w:rPr>
          <w:t xml:space="preserve">https://doi.org/10.11646/zootaxa.2797.1.3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Kapantaidaki DE, Antonatos S, Kontodimas D, Milonas P, Papachristos DP (2019) Presence of the invasive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Greece.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Lin HC, Wei HL, Tao CC (1975)</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Integrated control of citrus spiny white 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&amp; Baker (Homoptera: Aleyrodidae). </w:t>
      </w:r>
      <w:r>
        <w:rPr>
          <w:rFonts w:ascii="Calibri" w:hAnsi="Calibri" w:eastAsia="Calibri" w:cs="Calibri"/>
          <w:i/>
          <w:iCs/>
          <w:color w:val="000000"/>
          <w:sz w:val="22"/>
          <w:szCs w:val="22"/>
        </w:rPr>
        <w:t xml:space="preserve">Journal</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Agricultural Research</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China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55–61.</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Meyerdink DE, Hart WG, Burnside J (1979) Marking and dispersal study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325-329.</w:t>
      </w:r>
    </w:p>
    <w:p>
      <w:pPr>
        <w:widowControl w:val="on"/>
        <w:pBdr/>
        <w:spacing w:before="220" w:after="220" w:line="240" w:lineRule="auto"/>
        <w:ind w:left="0" w:right="0"/>
        <w:jc w:val="left"/>
      </w:pPr>
      <w:r>
        <w:rPr>
          <w:rFonts w:ascii="Calibri" w:hAnsi="Calibri" w:eastAsia="Calibri" w:cs="Calibri"/>
          <w:color w:val="000000"/>
          <w:sz w:val="22"/>
          <w:szCs w:val="22"/>
        </w:rPr>
        <w:t xml:space="preserve">Mifsud D, Cocquempot C, Mühlethaler R, Wilson M, Streito JC (2010) Other Hemiptera Sternorrhyncha (Aleyrodidae, Phylloxeroidea, and Psylloidea) and Hemiptera Auchenorrhyncha. Chapter 9.4. In: Roques A et al. (Eds) Alien terrestrial arthropods of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511-552.</w:t>
      </w:r>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Marutani M, Esguerra N (1992) Establishment of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(Silvestri) (Hymenoptera: Aphelinidae) on Pohnpei for control of the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(Homoptera: Aleyrodidae).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243.</w:t>
      </w:r>
    </w:p>
    <w:p>
      <w:pPr>
        <w:widowControl w:val="on"/>
        <w:pBdr/>
        <w:spacing w:before="220" w:after="220" w:line="240" w:lineRule="auto"/>
        <w:ind w:left="0" w:right="0"/>
        <w:jc w:val="left"/>
      </w:pPr>
      <w:r>
        <w:rPr>
          <w:rFonts w:ascii="Calibri" w:hAnsi="Calibri" w:eastAsia="Calibri" w:cs="Calibri"/>
          <w:color w:val="000000"/>
          <w:sz w:val="22"/>
          <w:szCs w:val="22"/>
        </w:rPr>
        <w:t xml:space="preserve">Nugnes F, Laudonia S, Jesu G, Jansen MGM, Bernardo U, Porcelli F (2020)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(Hemiptera: Aleyrodidae) in some European countries: diffusion, hosts, molecular characterization, and natural enemies.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42.</w:t>
      </w:r>
    </w:p>
    <w:p>
      <w:pPr>
        <w:widowControl w:val="on"/>
        <w:pBdr/>
        <w:spacing w:before="220" w:after="220" w:line="240" w:lineRule="auto"/>
        <w:ind w:left="0" w:right="0"/>
        <w:jc w:val="left"/>
      </w:pPr>
      <w:r>
        <w:rPr>
          <w:rFonts w:ascii="Calibri" w:hAnsi="Calibri" w:eastAsia="Calibri" w:cs="Calibri"/>
          <w:color w:val="000000"/>
          <w:sz w:val="22"/>
          <w:szCs w:val="22"/>
        </w:rPr>
        <w:t xml:space="preserve">Paladin Soče I, Šimala M, Gotlin Čuljak T (2020) Trnoviti štitasti moljac agruma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(quaintance, 1903) u Dubrovačko-Neretvanskoj županiji. </w:t>
      </w:r>
      <w:r>
        <w:rPr>
          <w:rFonts w:ascii="Calibri" w:hAnsi="Calibri" w:eastAsia="Calibri" w:cs="Calibri"/>
          <w:i/>
          <w:iCs/>
          <w:color w:val="000000"/>
          <w:sz w:val="22"/>
          <w:szCs w:val="22"/>
        </w:rPr>
        <w:t xml:space="preserve">Glasilo biljne zaštite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441-448.</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(2008)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(Homoptera: Aleyrodidae) in Apulia, Southern Italy. </w:t>
      </w:r>
      <w:r>
        <w:rPr>
          <w:rFonts w:ascii="Calibri" w:hAnsi="Calibri" w:eastAsia="Calibri" w:cs="Calibri"/>
          <w:i/>
          <w:iCs/>
          <w:color w:val="000000"/>
          <w:sz w:val="22"/>
          <w:szCs w:val="22"/>
        </w:rPr>
        <w:t xml:space="preserve">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516-518.</w:t>
      </w:r>
    </w:p>
    <w:p>
      <w:pPr>
        <w:widowControl w:val="on"/>
        <w:pBdr/>
        <w:spacing w:before="220" w:after="220" w:line="240" w:lineRule="auto"/>
        <w:ind w:left="0" w:right="0"/>
        <w:jc w:val="left"/>
      </w:pPr>
      <w:r>
        <w:rPr>
          <w:rFonts w:ascii="Calibri" w:hAnsi="Calibri" w:eastAsia="Calibri" w:cs="Calibri"/>
          <w:color w:val="000000"/>
          <w:sz w:val="22"/>
          <w:szCs w:val="22"/>
        </w:rPr>
        <w:t xml:space="preserve">Radonjić S, Hrnčić S, Malumphy C (2014) First record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(Quaintance) (Hemiptera Aleyrodidae) in Montenegro.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Schrader G, Camilleri M, Diakaki RMCM, Vos S (2018)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w:t>
      </w:r>
      <w:hyperlink r:id="rId378668042e17e4f2e" w:history="1">
        <w:r>
          <w:rPr>
            <w:rFonts w:ascii="Calibri" w:hAnsi="Calibri" w:eastAsia="Calibri" w:cs="Calibri"/>
            <w:color w:val="0000CC"/>
            <w:sz w:val="22"/>
            <w:szCs w:val="22"/>
            <w:u w:val="single"/>
          </w:rPr>
          <w:t xml:space="preserve">https://doi.org/10.2903/sp.efsa.EN-1565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Šimala, M, Masten Milek T Pintar M (2015). The whitefly species (Hemiptera, Aleyrodidae) with dark puparium and pupal case recorded in Croatia. </w:t>
      </w:r>
      <w:r>
        <w:rPr>
          <w:rFonts w:ascii="Calibri" w:hAnsi="Calibri" w:eastAsia="Calibri" w:cs="Calibri"/>
          <w:i/>
          <w:iCs/>
          <w:color w:val="000000"/>
          <w:sz w:val="22"/>
          <w:szCs w:val="22"/>
        </w:rPr>
        <w:t xml:space="preserve">Natura Croatica, </w:t>
      </w:r>
      <w:r>
        <w:rPr>
          <w:rFonts w:ascii="Calibri" w:hAnsi="Calibri" w:eastAsia="Calibri" w:cs="Calibri"/>
          <w:b/>
          <w:bCs/>
          <w:color w:val="000000"/>
          <w:sz w:val="22"/>
          <w:szCs w:val="22"/>
        </w:rPr>
        <w:t xml:space="preserve">24 </w:t>
      </w:r>
      <w:r>
        <w:rPr>
          <w:rFonts w:ascii="Calibri" w:hAnsi="Calibri" w:eastAsia="Calibri" w:cs="Calibri"/>
          <w:color w:val="000000"/>
          <w:sz w:val="22"/>
          <w:szCs w:val="22"/>
        </w:rPr>
        <w:t xml:space="preserve">(1), 111-125. </w:t>
      </w:r>
      <w:hyperlink r:id="rId538468042e17e4f95" w:history="1">
        <w:r>
          <w:rPr>
            <w:rFonts w:ascii="Calibri" w:hAnsi="Calibri" w:eastAsia="Calibri" w:cs="Calibri"/>
            <w:color w:val="0000CC"/>
            <w:sz w:val="22"/>
            <w:szCs w:val="22"/>
            <w:u w:val="single"/>
          </w:rPr>
          <w:t xml:space="preserve">https://doi.org/10.20302/NC.2015.24.6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(2011) Differentiation of the tea-infesting population of citrus spiny whitefly </w:t>
      </w:r>
      <w:r>
        <w:rPr>
          <w:rFonts w:ascii="Calibri" w:hAnsi="Calibri" w:eastAsia="Calibri" w:cs="Calibri"/>
          <w:i/>
          <w:iCs/>
          <w:color w:val="000000"/>
          <w:sz w:val="22"/>
          <w:szCs w:val="22"/>
        </w:rPr>
        <w:t xml:space="preserve">Aleurocanthus spiniferus </w:t>
      </w:r>
      <w:r>
        <w:rPr>
          <w:rFonts w:ascii="Calibri" w:hAnsi="Calibri" w:eastAsia="Calibri" w:cs="Calibri"/>
          <w:color w:val="000000"/>
          <w:sz w:val="22"/>
          <w:szCs w:val="22"/>
        </w:rPr>
        <w:t xml:space="preserve">(Homoptera: Aleyrodidae) from the citrus-infesting population in Japan on the basis of differences in the mitochondrial cytochrome c oxidase subunit I gene.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155-161. </w:t>
      </w:r>
      <w:hyperlink r:id="rId556068042e17e5026" w:history="1">
        <w:r>
          <w:rPr>
            <w:rFonts w:ascii="Calibri" w:hAnsi="Calibri" w:eastAsia="Calibri" w:cs="Calibri"/>
            <w:color w:val="0000CC"/>
            <w:sz w:val="22"/>
            <w:szCs w:val="22"/>
            <w:u w:val="single"/>
          </w:rPr>
          <w:t xml:space="preserve">https://doi.org/10.1303/jjaez.2011.155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Uesugi R, Sato Y, Han BY, Huang ZD, Yara K Furuhashi K (2016) Molecular evidence for multiple phylogenetic groups within two species of invasive spiny whiteflies and their parasitoid wasp.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328-340. </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(1982) Pests not known to occur in the United States or of limited distribution. No. 14. Orange spiny whitefly,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USDA APHIS-PPQ, Beltsville,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(1988) List of intercepted plant pests: Fiscal Year 1987.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82-14, 194 pp. United States Department of Agriculture, Animal and Plant Health Inspection Service,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Berg MA, Greenland J (1997) Classical biological control of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(Hem.: Aleyrodidae), on citrus in southern Africa.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459-465.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David Ouvrard.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EPPO datasheets on pests recommended for regulation. Available online. </w:t>
      </w:r>
      <w:hyperlink r:id="rId924468042e17e52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4137447" name="name973968042e17e54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5268042e17e54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277081">
    <w:multiLevelType w:val="hybridMultilevel"/>
    <w:lvl w:ilvl="0" w:tplc="83746313">
      <w:start w:val="1"/>
      <w:numFmt w:val="decimal"/>
      <w:lvlText w:val="%1."/>
      <w:lvlJc w:val="left"/>
      <w:pPr>
        <w:ind w:left="720" w:hanging="360"/>
      </w:pPr>
    </w:lvl>
    <w:lvl w:ilvl="1" w:tplc="83746313" w:tentative="1">
      <w:start w:val="1"/>
      <w:numFmt w:val="lowerLetter"/>
      <w:lvlText w:val="%2."/>
      <w:lvlJc w:val="left"/>
      <w:pPr>
        <w:ind w:left="1440" w:hanging="360"/>
      </w:pPr>
    </w:lvl>
    <w:lvl w:ilvl="2" w:tplc="83746313" w:tentative="1">
      <w:start w:val="1"/>
      <w:numFmt w:val="lowerRoman"/>
      <w:lvlText w:val="%3."/>
      <w:lvlJc w:val="right"/>
      <w:pPr>
        <w:ind w:left="2160" w:hanging="180"/>
      </w:pPr>
    </w:lvl>
    <w:lvl w:ilvl="3" w:tplc="83746313" w:tentative="1">
      <w:start w:val="1"/>
      <w:numFmt w:val="decimal"/>
      <w:lvlText w:val="%4."/>
      <w:lvlJc w:val="left"/>
      <w:pPr>
        <w:ind w:left="2880" w:hanging="360"/>
      </w:pPr>
    </w:lvl>
    <w:lvl w:ilvl="4" w:tplc="83746313" w:tentative="1">
      <w:start w:val="1"/>
      <w:numFmt w:val="lowerLetter"/>
      <w:lvlText w:val="%5."/>
      <w:lvlJc w:val="left"/>
      <w:pPr>
        <w:ind w:left="3600" w:hanging="360"/>
      </w:pPr>
    </w:lvl>
    <w:lvl w:ilvl="5" w:tplc="83746313" w:tentative="1">
      <w:start w:val="1"/>
      <w:numFmt w:val="lowerRoman"/>
      <w:lvlText w:val="%6."/>
      <w:lvlJc w:val="right"/>
      <w:pPr>
        <w:ind w:left="4320" w:hanging="180"/>
      </w:pPr>
    </w:lvl>
    <w:lvl w:ilvl="6" w:tplc="83746313" w:tentative="1">
      <w:start w:val="1"/>
      <w:numFmt w:val="decimal"/>
      <w:lvlText w:val="%7."/>
      <w:lvlJc w:val="left"/>
      <w:pPr>
        <w:ind w:left="5040" w:hanging="360"/>
      </w:pPr>
    </w:lvl>
    <w:lvl w:ilvl="7" w:tplc="83746313" w:tentative="1">
      <w:start w:val="1"/>
      <w:numFmt w:val="lowerLetter"/>
      <w:lvlText w:val="%8."/>
      <w:lvlJc w:val="left"/>
      <w:pPr>
        <w:ind w:left="5760" w:hanging="360"/>
      </w:pPr>
    </w:lvl>
    <w:lvl w:ilvl="8" w:tplc="83746313" w:tentative="1">
      <w:start w:val="1"/>
      <w:numFmt w:val="lowerRoman"/>
      <w:lvlText w:val="%9."/>
      <w:lvlJc w:val="right"/>
      <w:pPr>
        <w:ind w:left="6480" w:hanging="180"/>
      </w:pPr>
    </w:lvl>
  </w:abstractNum>
  <w:abstractNum w:abstractNumId="69277080">
    <w:multiLevelType w:val="hybridMultilevel"/>
    <w:lvl w:ilvl="0" w:tplc="607630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277080">
    <w:abstractNumId w:val="69277080"/>
  </w:num>
  <w:num w:numId="69277081">
    <w:abstractNumId w:val="692770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2962708" Type="http://schemas.microsoft.com/office/2011/relationships/commentsExtended" Target="commentsExtended.xml"/><Relationship Id="rId628141955" Type="http://schemas.microsoft.com/office/2011/relationships/people" Target="people.xml"/><Relationship Id="rId124068042e17e07ea" Type="http://schemas.openxmlformats.org/officeDocument/2006/relationships/hyperlink" Target="https://gd.eppo.int/taxon/ALECSN/" TargetMode="External"/><Relationship Id="rId606668042e17e0853" Type="http://schemas.openxmlformats.org/officeDocument/2006/relationships/hyperlink" Target="https://gd.eppo.int/taxon/ALECSN/categorization" TargetMode="External"/><Relationship Id="rId249068042e17e11cf" Type="http://schemas.openxmlformats.org/officeDocument/2006/relationships/hyperlink" Target="https://gd.eppo.int/taxon/ALECSN/photos" TargetMode="External"/><Relationship Id="rId483768042e17e43f1" Type="http://schemas.openxmlformats.org/officeDocument/2006/relationships/hyperlink" Target="https://doi.org/10.1146/annurev.ento.36.1.431" TargetMode="External"/><Relationship Id="rId782168042e17e4451" Type="http://schemas.openxmlformats.org/officeDocument/2006/relationships/hyperlink" Target="https://www.cabi.org/ISC/datasheet/4137" TargetMode="External"/><Relationship Id="rId821968042e17e461b" Type="http://schemas.openxmlformats.org/officeDocument/2006/relationships/hyperlink" Target="https://doi.org/10.2903/j.efsa.2018.5436" TargetMode="External"/><Relationship Id="rId209068042e17e46bd" Type="http://schemas.openxmlformats.org/officeDocument/2006/relationships/hyperlink" Target="https://gd.eppo.int/" TargetMode="External"/><Relationship Id="rId499668042e17e4a01" Type="http://schemas.openxmlformats.org/officeDocument/2006/relationships/hyperlink" Target="https://doi.org/10.11646/zootaxa.2797.1.3" TargetMode="External"/><Relationship Id="rId378668042e17e4f2e" Type="http://schemas.openxmlformats.org/officeDocument/2006/relationships/hyperlink" Target="https://doi.org/10.2903/sp.efsa.EN-1565" TargetMode="External"/><Relationship Id="rId538468042e17e4f95" Type="http://schemas.openxmlformats.org/officeDocument/2006/relationships/hyperlink" Target="https://doi.org/10.20302/NC.2015.24.6" TargetMode="External"/><Relationship Id="rId556068042e17e5026" Type="http://schemas.openxmlformats.org/officeDocument/2006/relationships/hyperlink" Target="https://doi.org/10.1303/jjaez.2011.155" TargetMode="External"/><Relationship Id="rId924468042e17e52d0" Type="http://schemas.openxmlformats.org/officeDocument/2006/relationships/hyperlink" Target="https://gd.eppo.int" TargetMode="External"/><Relationship Id="rId885568042e17e106a" Type="http://schemas.openxmlformats.org/officeDocument/2006/relationships/image" Target="media/imgrId885568042e17e106a.jpg"/><Relationship Id="rId535968042e17e34c6" Type="http://schemas.openxmlformats.org/officeDocument/2006/relationships/image" Target="media/imgrId535968042e17e34c6.jpg"/><Relationship Id="rId245268042e17e541a" Type="http://schemas.openxmlformats.org/officeDocument/2006/relationships/image" Target="media/imgrId245268042e17e54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