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woglumi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woglumi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formosana</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Aleurocanthus punjabensis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Aleurodes woglumi</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 grey fly, citrus blackfly, citrus spring whitefly</w:t>
            </w:r>
            <w:hyperlink r:id="rId5208669e80758e82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18669e80758e88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ALECWO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942747" name="name8759669e80758f0ac"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3410669e80758f0aa" cstate="print"/>
                          <a:stretch>
                            <a:fillRect/>
                          </a:stretch>
                        </pic:blipFill>
                        <pic:spPr>
                          <a:xfrm>
                            <a:off x="0" y="0"/>
                            <a:ext cx="2160000" cy="1281600"/>
                          </a:xfrm>
                          <a:prstGeom prst="rect">
                            <a:avLst/>
                          </a:prstGeom>
                          <a:ln w="0">
                            <a:noFill/>
                          </a:ln>
                        </pic:spPr>
                      </pic:pic>
                    </a:graphicData>
                  </a:graphic>
                </wp:inline>
              </w:drawing>
            </w:r>
            <w:hyperlink r:id="rId7203669e80758f1b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is a member of the order Hemiptera, family Aleyrodidae, subfamily Aleyrodinae and tribe Aleurocanthini (David, 1990).</w:t>
      </w:r>
      <w:r>
        <w:rPr>
          <w:rFonts w:ascii="Calibri" w:hAnsi="Calibri" w:eastAsia="Calibri" w:cs="Calibri"/>
          <w:i/>
          <w:iCs/>
          <w:color w:val="000000"/>
          <w:sz w:val="22"/>
          <w:szCs w:val="22"/>
        </w:rPr>
        <w:t xml:space="preserve"> Aleurocanthus husaini</w:t>
      </w:r>
      <w:r>
        <w:rPr>
          <w:rFonts w:ascii="Calibri" w:hAnsi="Calibri" w:eastAsia="Calibri" w:cs="Calibri"/>
          <w:color w:val="000000"/>
          <w:sz w:val="22"/>
          <w:szCs w:val="22"/>
        </w:rPr>
        <w:t xml:space="preserve"> which is closely related to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erroneously synonymized with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before being reinstated as a separate species (Martin and Mound,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but it can be found on a wide range of crops, mostly fruit trees, including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bananas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cashews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grapes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spp.),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lychees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In Mexico, 75 species in 38 families have been reported as hosts on which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complete its life cycle (Shaw, 1950).</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solanacea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simaruba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juglandifolia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Guaiacum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Guazuma ulmifolia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Hura polyandra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thwaitesii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Madhuca longifolia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mukorossi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macrocarpum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Struthanthus flexicaulis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spondioides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Wallenia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clarkei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originated in south-east Asia and it has spread widely in tropical and subtropical regions, overlapping the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some regions. It was first detected in India in 1910, and in 1915 it was reported in other parts of Asia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Western Hemisphere,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recorded in Jamaica in 1913 and it has spread throughout the Caribbean region into Central America (Hoelmer and Grace, 1989;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By 1940 it had become a serious threat to citrus in Mexico where it may have been introduced on shipments of mango cuttings from India or from boats from Central America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recorded in Florida in 1934, where it is now widespread throughout the north-central and southern parts of the state, and Texas (1955)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Hoelmer and Grace, 1989; Ngugen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Brazil,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detected in 2001, in Belém, Pará state in the north, and has now become widespread in the country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Alvim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also, discovered near Durban, South Africa in January 1959, and is established in and around Durban on the Natal coast (Bedford and Thomas, 1965).</w:t>
      </w:r>
    </w:p>
    <w:p>
      <w:r>
        <w:drawing>
          <wp:inline distT="0" distB="0" distL="0" distR="0">
            <wp:extent cx="6120000" cy="3067200"/>
            <wp:docPr id="22353154" name="name2780669e8075916c2" descr="ALECW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WO_distribution_map.jpg"/>
                    <pic:cNvPicPr/>
                  </pic:nvPicPr>
                  <pic:blipFill>
                    <a:blip r:embed="rId1853669e8075916c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Nigeria, Seychelles,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(Guangdong, Hainan, Xianggang (Hong Kong)), Christmas Island, India (Andhra Pradesh, Assam, Bihar, Delhi, Goa, Gujarat, Karnataka, Madhya Pradesh, Maharashtra, Punjab, Sikkim, Tamil Nadu, Telangana, Uttar Pradesh, West Bengal), Indonesia (Irian Jaya, Java, Kalimantan, Sulawesi, Sumatra), Iran, Laos, Malaysia (Sabah, Sarawak, West), Maldives, Myanmar, Nepal, Oman, Pakistan, Philippines,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Cayman Islands, Costa Rica, Cuba, Dominica, Dominican Republic, El Salvador, Guadeloupe, Guatemala, Haiti, Jamaica,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Amazonas, Bahia, Ceara, Espirito Santo, Goias, Maranhao, Mato Grosso do Sul, Para, Paraiba, Parana, Pernambuco, Piaui, Rio de Janeiro, Rio Grande do Norte, Rio Grande do Sul, Rondonia, Roraima, Santa Catarina, Sao Paulo, Sergipe, Tocantins), Colombia, Ecuador,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found throughout the year, but little breeding occurs during cold periods (EFSA, 2018). Laboratory experiments found that the optimal temperature for development is 25±3˚C (Moraes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relative humidity 70-80% (CABI, 2018), and survival was greatest at 25.6˚C (Dowell and Fitzpatrick, 1978).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persists in temperatures often exceeding 44˚C in the Middle East or areas such as the Sindh and Punjab provinces in Pakistan and Maharastra in India, where long-term monthly average maximum temperatures can exceed 42˚C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opt for oviposition sites in tree canopies with high humidity as this influences egg hatch and nymph survival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Each female lays 35-100 or more eggs (average 38) in a spiral pattern on leaf undersides in batches adhered by a short pedicel (Quezada, 1974;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hatch in 4 to 12 days depending on conditions (Dietz &amp; Zetek, 1920). In the field it has been observed that on sunny days the eggs are laid in the morning, or in the late afternoon, when the relative humidity is highest. On cloudy days, when the relative humidity is almost constant, egg laying may take place at any time during the day (Dietz and Zetek, 1920). Active, first instars (crawlers) emerge. They disperse for a short time (3 or 4 hours) (Medina-Gaud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staying mainly on lower leaf surfaces to avoid strong sunlight and begin feeding on plant sap (CABI, 2018). They then moult, losing their legs and remain attached to the leaf by their mouthparts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four instar stages last 7-16, 7-30, 6-20, 16-50 days, respectively (EFSA, 2018), and the adult lifespan is 6 to 12 days (Dietz &amp; Zetek, 1920).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generally takes 2-4 months and there are up to six generations annually (CABI, 2018; EFSA, 2018). Hoelmer and Grace (1979) reported three to four generations annually in South Florida, Clausen and Berry (1932) observed five generations each year in Kuala Lumpur, while in the Panama Canal Zone a maximum number of five generations were reported (during the dry season at least one generation is lost) (Dietz and Zetek, 1920).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the undersides of the leaves, and are more common on the lower half of citrus trees. Direct damage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caused by continuous sucking of leaf sap by both immature and adult stages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Plants weaken, the leaves wither and drop (Clausen and Berry, 1932), and the fruit-bearing capacity of the tree is also badly affected. The leaf organic nitrogen content is reduced below 2.2%, which is the minimum prerequisite for successful fruit set (Rao and George, 2018). Additional damage is associated with honeydew egestion by nymphs and the development of a sooty mould (</w:t>
      </w:r>
      <w:r>
        <w:rPr>
          <w:rFonts w:ascii="Calibri" w:hAnsi="Calibri" w:eastAsia="Calibri" w:cs="Calibri"/>
          <w:i/>
          <w:iCs/>
          <w:color w:val="000000"/>
          <w:sz w:val="22"/>
          <w:szCs w:val="22"/>
        </w:rPr>
        <w:t xml:space="preserve">Capnodium</w:t>
      </w:r>
      <w:r>
        <w:rPr>
          <w:rFonts w:ascii="Calibri" w:hAnsi="Calibri" w:eastAsia="Calibri" w:cs="Calibri"/>
          <w:color w:val="000000"/>
          <w:sz w:val="22"/>
          <w:szCs w:val="22"/>
        </w:rPr>
        <w:t xml:space="preserve"> sp.) on leaves and fruits, causing negative physiological changes to plants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decrease leaf respiration and photosynthesis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has been described based on the puparium. Details for identification are provided in the EPPO Diagnostic Protocol PM 7/007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0.2 mm long (CABI, 2018), cream-white to pale yellow at first, turning darker toward advanced stages of maturation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laid in a very characteristic spiral pattern (Quezada, 1974), attached to the underside of leaves by a short pedicel (CABI, 2018) which is an extension of the chorion fixed to abaxial surface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pre-adult stages are given in PM 7/007 (EPPO, in press).</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(crawler): Elongate-oval, 0.30 mm long x 0.15 mm wide (CABI, 2018), with reddish eye spots, short antennae, and rather short legs (Dietz and Zetek, 1920) with 2 long and several shorter, radiating spiny filaments. Colour rather dark brown under the microscope, almost black on the leaf (Dietz and Zetek, 1920).</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Legs are reduced but present, ovate-convex, 0.42-0.45 mm long, dark brown to pale black with yellow markings, with the exception of a large, more or less circular spot on the anterior part of the dorsum, which remains a dull green (Dietz and Zetek, 1920) with easily distinguished,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convex and much longer, 0.57-0.65 mm long, generally black with a rounded, greenish spot on the anterior part of the abdomen, spiny filaments obvious (CABI, 2018). Dimorphism is also visible in this stage as the female third instars possess an extra pair of cephalic spines (14) in contrast to male third instars that have only 13 pairs (Dubey and 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(puparium or pupal case): Ovate, shiny-black, females about 1.24 mm long, males slightly shorter, up to 1 mm in diameter (CABI, 2018). Submedian spines on the cephalothorax do not reach beyond the margin, except the anterior two pairs. Longitudinal and transverse moulting sutures reach the margin. The eye spots are evident (Dubey and Ko,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1.7 mm in length, males up to 1.35 mm long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At emergence, the head is pale yellow, legs are whitish, and eyes are reddish-brown (Dietz and Zetek, 1920). At rest, the general appearance is metallic grey-blue, being the colour of the wings, which cover most of the body; light markings on the wings appear to form a band across the middle of the red abdomen (CABI,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infestations are detected by looking for populations and damage symptoms. Honeydew, sooty mould, and honeydew-seeking ants are general signs of phloem feeding insect infestations (CABI, 2018; Carvalho and Francelli, 2021); they can be used to pinpoint the areas where plants may be inspected for the presence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To monitor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translucent fluorescent yellow traps are suggested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fluorescent yellow with a reflectance of 500-550 nm proved to be the most attractive shade of yellow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Dowell and Cherry 1981). Visual inspections were more efficient than sticky traps for detecting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low densities (&lt;5% leaves infested) on citrus trees in urban areas (Dowell and Cherry, 1981;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found on the leaves and several useful taxonomical keys and guides are available in the literature described by Dietz &amp; Zetek (1920), Bink-Moenen (1983),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&amp; Dubey and Ko (2012). Moreover, a revised EPPO diagnostic protocol is in press. One GenBank accession is available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mitochondrial COI gene for cytochrome oxidase subunit I: </w:t>
      </w:r>
      <w:hyperlink r:id="rId6281669e807591fa0" w:history="1">
        <w:r>
          <w:rPr>
            <w:rFonts w:ascii="Calibri" w:hAnsi="Calibri" w:eastAsia="Calibri" w:cs="Calibri"/>
            <w:color w:val="0000CC"/>
            <w:sz w:val="22"/>
            <w:szCs w:val="22"/>
            <w:u w:val="single"/>
          </w:rPr>
          <w:t xml:space="preserve">https://www.ncbi.nlm.nih.gov/nuccore/JX281760.1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liable to be locally spread by natural dispersal. It can disperse by crawling (first instars), and wind (Dietz &amp; Zetek, 1920; EFSA, 2018) but dispersion will be slow (Hoelmer and Grace, 1989). Specific spread rates for this pest have been reported by Dowel and Fitzpatrick (1978) and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Adults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are capable of limited down-wind flight (up to 187 m in 24 h)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according to theoretical estimates, the natural dispersion of the pest can occur between 200 and 300 km annually, mainly along roads (Carvalho and Francelli, 2021). Plants for planting, fruits, vegetables and cut flowers are the main pathways of spread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over long distances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EFSA, 2018). The fast spread rates detailed in the literature may be due to river and road transport, especially via the transport of citrus fruits from infested areas to areas where juice production occurs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Until April 2022, six records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interceptions are listed in the EUROPHYT database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and Musaceae.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egests abundant amounts of sugary honeydew, which covers leaf and fruit surfaces, causing foliage drop and making fruits unmarketable. In Mexico and Florida, short-term (less than one-year) infestations were found to reduce fruit production by up to 50%, and longer-term infestations regularly resulted in almost total loss of production. In Pakistan, losses due to citrus blackfly infestations have been estimated at 5 to 10% with occasional losses of 50 to 60% (Hoelmer and Grace, 1989). Severe infestations cause reduction of citrus yield of about 80%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a constant threat to citrus and other crops in the USA and Venezuela. It has not been recorded as a glasshouse pest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and economic losses caused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have led to several studies being conducted to identify the most effective strategies for the pest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possible but the reduction of pest population is only temporary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pesticides have been evaluated for the management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field conditions and on nursery citrus (Watts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Ba-Angood, 1977; French and Meagher, 1992;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organic farmers apply treatments such as sulphur, oils, and microbials to control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(Thomas, 2007;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application of mineral and vegetable oils, or derivatives may result in improved control strategies for agricultural pests and associated diseases and can cause minimal adverse effects on populations of biological agents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Oils from </w:t>
      </w:r>
      <w:r>
        <w:rPr>
          <w:rFonts w:ascii="Calibri" w:hAnsi="Calibri" w:eastAsia="Calibri" w:cs="Calibri"/>
          <w:i/>
          <w:iCs/>
          <w:color w:val="000000"/>
          <w:sz w:val="22"/>
          <w:szCs w:val="22"/>
        </w:rPr>
        <w:t xml:space="preserve">Eucalyptus globulus, Allium sativum, Gossypium hirsutum, Sesamum indicum, Ricinus communis</w:t>
      </w:r>
      <w:r>
        <w:rPr>
          <w:rFonts w:ascii="Calibri" w:hAnsi="Calibri" w:eastAsia="Calibri" w:cs="Calibri"/>
          <w:color w:val="000000"/>
          <w:sz w:val="22"/>
          <w:szCs w:val="22"/>
        </w:rPr>
        <w:t xml:space="preserve"> are alternative control treatments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eggs (90-100% mortality)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Brazil, vegetable oils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extract of neem were evaluated on the fourth-instar nymphs and the mortality rate of puparia was above 90% for all vegetable oils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the methanolic extract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root bark caused significant mortality of </w:t>
      </w:r>
      <w:r>
        <w:rPr>
          <w:rFonts w:ascii="Calibri" w:hAnsi="Calibri" w:eastAsia="Calibri" w:cs="Calibri"/>
          <w:i/>
          <w:iCs/>
          <w:color w:val="000000"/>
          <w:sz w:val="22"/>
          <w:szCs w:val="22"/>
        </w:rPr>
        <w:t xml:space="preserve">A. woglumi </w:t>
      </w:r>
      <w:r>
        <w:rPr>
          <w:rFonts w:ascii="Calibri" w:hAnsi="Calibri" w:eastAsia="Calibri" w:cs="Calibri"/>
          <w:color w:val="000000"/>
          <w:sz w:val="22"/>
          <w:szCs w:val="22"/>
        </w:rPr>
        <w:t xml:space="preserve">nymphs in concentrations above 5 mg/L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Gamma radiation against citrus blackfly eggs caused egg mortality up to 100% and was recommended as a quarantine treatment (Villavicencio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hymenopteran parasitoids such as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have proved economical and effective; they kept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below economically damaging levels in much of its distribution range in several parts of the world such as Southern Florida, Trinidad &amp; Tobago, Texas, Mexico, and Dominica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Florida, both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were released and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mainly due to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On Merritt Island (Florida), in addition to the two aforementioned parasitoids a hyperparasite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was also released, and although at the beginning of the study </w:t>
      </w:r>
      <w:r>
        <w:rPr>
          <w:rFonts w:ascii="Calibri" w:hAnsi="Calibri" w:eastAsia="Calibri" w:cs="Calibri"/>
          <w:i/>
          <w:iCs/>
          <w:color w:val="000000"/>
          <w:sz w:val="22"/>
          <w:szCs w:val="22"/>
        </w:rPr>
        <w:t xml:space="preserve">A. hesperidum </w:t>
      </w:r>
      <w:r>
        <w:rPr>
          <w:rFonts w:ascii="Calibri" w:hAnsi="Calibri" w:eastAsia="Calibri" w:cs="Calibri"/>
          <w:color w:val="000000"/>
          <w:sz w:val="22"/>
          <w:szCs w:val="22"/>
        </w:rPr>
        <w:t xml:space="preserve">was the dominant parasitoid, ultimately </w:t>
      </w:r>
      <w:r>
        <w:rPr>
          <w:rFonts w:ascii="Calibri" w:hAnsi="Calibri" w:eastAsia="Calibri" w:cs="Calibri"/>
          <w:i/>
          <w:iCs/>
          <w:color w:val="000000"/>
          <w:sz w:val="22"/>
          <w:szCs w:val="22"/>
        </w:rPr>
        <w:t xml:space="preserve">E. opulenta </w:t>
      </w:r>
      <w:r>
        <w:rPr>
          <w:rFonts w:ascii="Calibri" w:hAnsi="Calibri" w:eastAsia="Calibri" w:cs="Calibri"/>
          <w:color w:val="000000"/>
          <w:sz w:val="22"/>
          <w:szCs w:val="22"/>
        </w:rPr>
        <w:t xml:space="preserve">became and remained dominant until the end of the study. Based on field data obtained by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ineffective when it was released alone, and a delayed reduction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was observed when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released together with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It was concluded that the delay was due to activity of </w:t>
      </w:r>
      <w:r>
        <w:rPr>
          <w:rFonts w:ascii="Calibri" w:hAnsi="Calibri" w:eastAsia="Calibri" w:cs="Calibri"/>
          <w:i/>
          <w:iCs/>
          <w:color w:val="000000"/>
          <w:sz w:val="22"/>
          <w:szCs w:val="22"/>
        </w:rPr>
        <w:t xml:space="preserve">E. smithi </w:t>
      </w:r>
      <w:r>
        <w:rPr>
          <w:rFonts w:ascii="Calibri" w:hAnsi="Calibri" w:eastAsia="Calibri" w:cs="Calibri"/>
          <w:color w:val="000000"/>
          <w:sz w:val="22"/>
          <w:szCs w:val="22"/>
        </w:rPr>
        <w:t xml:space="preserve">as a hyperparasite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In Southern Texas,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has held population densities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very low population densities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As part of a classical biological control programme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parasitoids were released, and citrus blackfly populations declined by more than 98% at all sites while parasitism increased to 60-90%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El Salvador, the introduction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brought about the successful biological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(Quezada 1974). Similar results from the release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were presented by Dowell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Southern Florida. In Dominica, after four years of the release of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perplexa</w:t>
      </w:r>
      <w:r>
        <w:rPr>
          <w:rFonts w:ascii="Calibri" w:hAnsi="Calibri" w:eastAsia="Calibri" w:cs="Calibri"/>
          <w:color w:val="000000"/>
          <w:sz w:val="22"/>
          <w:szCs w:val="22"/>
        </w:rPr>
        <w:t xml:space="preserve"> it was found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declined, the parasitoids were present, and no nontarget effects on other Aleyrodidae or their natural enemies were noted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Florida, it has been found that insecticide sprays against other orchard pests can be used without disrupting the parasites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providing the pesticides used are highly water-soluble (Fitzpatrick &amp; Dowell, 1981); this implies that integrated pest management of citrus orchards should be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strategies such as the use of silicon forms (e.g. potassium silicate) to induce citrus defence mechanisms with the increased activity of peroxidase and polyphenol oxidase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the use of </w:t>
      </w:r>
      <w:r>
        <w:rPr>
          <w:rFonts w:ascii="Calibri" w:hAnsi="Calibri" w:eastAsia="Calibri" w:cs="Calibri"/>
          <w:i/>
          <w:iCs/>
          <w:color w:val="000000"/>
          <w:sz w:val="22"/>
          <w:szCs w:val="22"/>
        </w:rPr>
        <w:t xml:space="preserve">Fusarium volatile</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promising.</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mainly presents a risk to citrus in Mediterranean countries. It has a well-documented history of spread around the world from its South-East Asian origin.</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used the Köppen Geiger climate classification system to determine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in climatic zones that also occur in European countries, making them potentially suitable for establishment. Furthermore,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used CLIMEX - a process-oriented climatic niche model - to model the potential global distribution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an historical climate scenario (centred on 1995), including a spatially explicit irrigation scenario and found that there are current and emerging risks in every continent, including a potential invasion in the Mediterranean Basin. Moreover, CLIMEX simulation under the RCP 8.5 climate change scenario for 2050, indicates that the risk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establishing in Europe is high, making citrus-growing countries a potential hotspot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for planting from third countries is prohibited (Regulation 2021/2285, Annex VI), while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which is a host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exempt by Regulation 2021/2285, Annex XI, Part C. There are many other hosts that can be imported to the EU with a phytosanitary certificate. A phytosanitary certificate should guarantee absence of the pest from consignments of fruit (EFSA, 2018) although a tolerance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acceptable during the winter months. It is recommended (EFSA, 2018) that all imported host plants, as planting material and as host cut flowers or branches, should come from a nursery found free from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during the previous growing season. Planting material and cut flowers or branches of host plants shipped from countries where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are required to be fumigated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Akrivou A, Georgopoulou I, Papachristos DP, Milonas PG &amp; Kriticos DG (2021) Potential global distribution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considering climate change and irrigation.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(12) e0261626. </w:t>
      </w:r>
      <w:hyperlink r:id="rId5805669e807592dbc" w:history="1">
        <w:r>
          <w:rPr>
            <w:rFonts w:ascii="Calibri" w:hAnsi="Calibri" w:eastAsia="Calibri" w:cs="Calibri"/>
            <w:color w:val="0000CC"/>
            <w:sz w:val="22"/>
            <w:szCs w:val="22"/>
            <w:u w:val="single"/>
          </w:rPr>
          <w:t xml:space="preserve">https://doi.org/10.1371/journal.pone.0261626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Alvim RG, Aguiar-Menezes E de L &amp; Lima AF de (2016) Dissemination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citrus plants, its natural enemies and new host plants in the state of Rio de Janeiro, Brazil.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(11), 1891–1897. </w:t>
      </w:r>
      <w:hyperlink r:id="rId2167669e807592e5c" w:history="1">
        <w:r>
          <w:rPr>
            <w:rFonts w:ascii="Calibri" w:hAnsi="Calibri" w:eastAsia="Calibri" w:cs="Calibri"/>
            <w:color w:val="0000CC"/>
            <w:sz w:val="22"/>
            <w:szCs w:val="22"/>
            <w:u w:val="single"/>
          </w:rPr>
          <w:t xml:space="preserve">https://doi.org/10.1590/0103-8478cr20151101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Seasonal Incidence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and its Natural Enemies on Acid 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1519-1523. </w:t>
      </w:r>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Survey and management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on acid-lime.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1485-1490. </w:t>
      </w:r>
    </w:p>
    <w:p>
      <w:pPr>
        <w:widowControl w:val="on"/>
        <w:pBdr/>
        <w:spacing w:before="220" w:after="220" w:line="240" w:lineRule="auto"/>
        <w:ind w:left="0" w:right="0"/>
        <w:jc w:val="left"/>
      </w:pPr>
      <w:r>
        <w:rPr>
          <w:rFonts w:ascii="Calibri" w:hAnsi="Calibri" w:eastAsia="Calibri" w:cs="Calibri"/>
          <w:color w:val="000000"/>
          <w:sz w:val="22"/>
          <w:szCs w:val="22"/>
        </w:rPr>
        <w:t xml:space="preserve">Ba-Angood SAS (1977) Field trials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the Yemen.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149-152. </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LFS, Santos AC da S, Diniz AG, Alves AL, de Oliveira AFM, da Costa AF &amp; Tiago PV (2021) Entomopathogenicity of fungi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838–847.  </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ECG &amp; Thomas ED (1965)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Aleurodidae) in South Africa.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Bell H, Wakefield M, Macarthur R, Stein J, Collins D, Hart A, Roques A, Augustin S, Yart A, Péré C, Schrader G, Wendt C, Battisti A, Faccoli M, Marini L &amp; Toffolo EPZ (2014) A Review of the Literature Relevant to the Monitoring of Regulated Plant Health Pests in Europe. Appendix C to the final report on: Plant health surveys for the EU territory: an analysis of data quality and methodologies and the resulting uncertainties for pest risk assessment (PERSEUS) CFP/EFSA/PLH/2010/01. </w:t>
      </w:r>
      <w:hyperlink r:id="rId8563669e80759311f" w:history="1">
        <w:r>
          <w:rPr>
            <w:rFonts w:ascii="Calibri" w:hAnsi="Calibri" w:eastAsia="Calibri" w:cs="Calibri"/>
            <w:color w:val="0000CC"/>
            <w:sz w:val="22"/>
            <w:szCs w:val="22"/>
            <w:u w:val="single"/>
          </w:rPr>
          <w:t xml:space="preserve">https://doi.org/10.2903/sp.efsa.2014.EN-676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Bink-Moenen RM (1983) Revision of the African Whiteflies (Aleyrodidae), mainly based on a collection from Tchad. </w:t>
      </w:r>
      <w:r>
        <w:rPr>
          <w:rFonts w:ascii="Calibri" w:hAnsi="Calibri" w:eastAsia="Calibri" w:cs="Calibri"/>
          <w:i/>
          <w:iCs/>
          <w:color w:val="000000"/>
          <w:sz w:val="22"/>
          <w:szCs w:val="22"/>
        </w:rPr>
        <w:t xml:space="preserve">Monografieën van de Nederlandse Entomologische Vereniging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1–210.</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&amp; Berry PA (1932) The citrus blackfly in Asia and the importation of its natural enemies into tropical America. Technical Bulletin No 320. United States Department of Agriculture, Washington, D.C. pp. 58. PMID: 19988911</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(1990) Key to tribes of whiteflies (Aleyrodidae: Homoptera) of India.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13-17. </w:t>
      </w:r>
    </w:p>
    <w:p>
      <w:pPr>
        <w:widowControl w:val="on"/>
        <w:pBdr/>
        <w:spacing w:before="220" w:after="220" w:line="240" w:lineRule="auto"/>
        <w:ind w:left="0" w:right="0"/>
        <w:jc w:val="left"/>
      </w:pPr>
      <w:r>
        <w:rPr>
          <w:rFonts w:ascii="Calibri" w:hAnsi="Calibri" w:eastAsia="Calibri" w:cs="Calibri"/>
          <w:color w:val="000000"/>
          <w:sz w:val="22"/>
          <w:szCs w:val="22"/>
        </w:rPr>
        <w:t xml:space="preserve">Dietz HF &amp; Zetek J (1920) The blackfly of citrus and other subtropical plants.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885</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&amp; Fitzpatrick GE (1978) Effects of temperature on the growth and survivorship of the citrus blackfly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(12), 347-1350. </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Fitzpatrick GE &amp; Reinert JA (1979) Biological Control of Citrus Blackfly in Southern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595-597. </w:t>
      </w:r>
    </w:p>
    <w:p>
      <w:pPr>
        <w:widowControl w:val="on"/>
        <w:pBdr/>
        <w:spacing w:before="220" w:after="220" w:line="240" w:lineRule="auto"/>
        <w:ind w:left="0" w:right="0"/>
        <w:jc w:val="left"/>
      </w:pPr>
      <w:r>
        <w:rPr>
          <w:rFonts w:ascii="Calibri" w:hAnsi="Calibri" w:eastAsia="Calibri" w:cs="Calibri"/>
          <w:color w:val="000000"/>
          <w:sz w:val="22"/>
          <w:szCs w:val="22"/>
        </w:rPr>
        <w:t xml:space="preserve">Dubey AK &amp; Ko CC (2012) Sexual dimorphism among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Quaintance &amp; Baker (Hemiptera: Aleyrodidae) in Taiwan, with one new species and an identification key.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1-23.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Fitzpatrick GE &amp; Dowell RV (1981) Survival and emergence of citrus blackfly after exposure to insecticides.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728-731.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AMSV, Reis FO, Lemos RNS, Mondego JM, Braun H &amp; Araujo JRG (2019) Physiological characteristics of citrus plants infested with citrus blackfly.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Hoelmer KA &amp; Grace JK (1989) Citrus Blackfly. In: Eradication of Exotic Pests (eds Dahlsten DL, Garcia E). Yale University Press. New Haven, CT. pp 147–165.</w:t>
      </w:r>
    </w:p>
    <w:p>
      <w:pPr>
        <w:widowControl w:val="on"/>
        <w:pBdr/>
        <w:spacing w:before="220" w:after="220" w:line="240" w:lineRule="auto"/>
        <w:ind w:left="0" w:right="0"/>
        <w:jc w:val="left"/>
      </w:pPr>
      <w:r>
        <w:rPr>
          <w:rFonts w:ascii="Calibri" w:hAnsi="Calibri" w:eastAsia="Calibri" w:cs="Calibri"/>
          <w:color w:val="000000"/>
          <w:sz w:val="22"/>
          <w:szCs w:val="22"/>
        </w:rPr>
        <w:t xml:space="preserve">Lima BG, Farias P, Ramos EM, Sales TM &amp; Silva AG (2017) Economic injury level of citrus black-fly in commercial ‘Pera-Rio’ orange area.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e-461. </w:t>
      </w:r>
    </w:p>
    <w:p>
      <w:pPr>
        <w:widowControl w:val="on"/>
        <w:pBdr/>
        <w:spacing w:before="220" w:after="220" w:line="240" w:lineRule="auto"/>
        <w:ind w:left="0" w:right="0"/>
        <w:jc w:val="left"/>
      </w:pPr>
      <w:r>
        <w:rPr>
          <w:rFonts w:ascii="Calibri" w:hAnsi="Calibri" w:eastAsia="Calibri" w:cs="Calibri"/>
          <w:color w:val="000000"/>
          <w:sz w:val="22"/>
          <w:szCs w:val="22"/>
        </w:rPr>
        <w:t xml:space="preserve">Lima BMFV, Oliveira RA, Santos EA, Bittencourt MAL &amp; Santos OO (2017) Phytochemical characterization and bioactivity of ethanolic extracts on eggs of citrus blackfly. </w:t>
      </w:r>
      <w:r>
        <w:rPr>
          <w:rFonts w:ascii="Calibri" w:hAnsi="Calibri" w:eastAsia="Calibri" w:cs="Calibri"/>
          <w:i/>
          <w:iCs/>
          <w:color w:val="000000"/>
          <w:sz w:val="22"/>
          <w:szCs w:val="22"/>
        </w:rPr>
        <w:t xml:space="preserve">Ciência Rural</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(11) e20170092 </w:t>
      </w:r>
    </w:p>
    <w:p>
      <w:pPr>
        <w:widowControl w:val="on"/>
        <w:pBdr/>
        <w:spacing w:before="220" w:after="220" w:line="240" w:lineRule="auto"/>
        <w:ind w:left="0" w:right="0"/>
        <w:jc w:val="left"/>
      </w:pPr>
      <w:r>
        <w:rPr>
          <w:rFonts w:ascii="Calibri" w:hAnsi="Calibri" w:eastAsia="Calibri" w:cs="Calibri"/>
          <w:color w:val="000000"/>
          <w:sz w:val="22"/>
          <w:szCs w:val="22"/>
        </w:rPr>
        <w:t xml:space="preserve">Lopez VF, Kairo MTK, Pollard GV, Pierre C, Commodore N &amp; Dominique D (2009) Post-release survey to assess impact and potential host range expansion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two parasitoids introduced for the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Dominica.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497-503.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&amp; Mound LA (2007) An annotated check list of the world’s whiteflies (Insecta: Hemiptera: Aleyrodidae). Magnolia Press. pp 84. ISBN 978-1-86977-112-6 (Online edition).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Medina-Gaud S, Bennett FD &amp; Franqui RA (1969) La mosca negra de los cítricos,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En Puerto Rico. </w:t>
      </w:r>
      <w:r>
        <w:rPr>
          <w:rFonts w:ascii="Calibri" w:hAnsi="Calibri" w:eastAsia="Calibri" w:cs="Calibri"/>
          <w:i/>
          <w:iCs/>
          <w:color w:val="000000"/>
          <w:sz w:val="22"/>
          <w:szCs w:val="22"/>
        </w:rPr>
        <w:t xml:space="preserve">The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,301-305.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Hart WG &amp; Burnside JA (1979) Evaluation of a trap for the citrus blackfly, </w:t>
      </w: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(10), 1127-1129. </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BS, Rodrigues KCV, Silva AG &amp; Barros R (2012) Ocorrência da mosca-negra-dos-citros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em Pernambuco. </w:t>
      </w:r>
      <w:r>
        <w:rPr>
          <w:rFonts w:ascii="Calibri" w:hAnsi="Calibri" w:eastAsia="Calibri" w:cs="Calibri"/>
          <w:i/>
          <w:iCs/>
          <w:color w:val="000000"/>
          <w:sz w:val="22"/>
          <w:szCs w:val="22"/>
        </w:rPr>
        <w:t xml:space="preserve">Revista Caatinga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173-176. </w:t>
      </w:r>
    </w:p>
    <w:p>
      <w:pPr>
        <w:widowControl w:val="on"/>
        <w:pBdr/>
        <w:spacing w:before="220" w:after="220" w:line="240" w:lineRule="auto"/>
        <w:ind w:left="0" w:right="0"/>
        <w:jc w:val="left"/>
      </w:pPr>
      <w:r>
        <w:rPr>
          <w:rFonts w:ascii="Calibri" w:hAnsi="Calibri" w:eastAsia="Calibri" w:cs="Calibri"/>
          <w:color w:val="000000"/>
          <w:sz w:val="22"/>
          <w:szCs w:val="22"/>
        </w:rPr>
        <w:t xml:space="preserve">Moraes BC, Souza EB, Ribeiro JBM, Ferreira DBS &amp; Maia WJMS (2014) Impactos das mudanças climáticas na ecoclimatologia de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1903 (Hemiptera: Aleyrodidae) no Estado do Pará. </w:t>
      </w:r>
      <w:r>
        <w:rPr>
          <w:rFonts w:ascii="Calibri" w:hAnsi="Calibri" w:eastAsia="Calibri" w:cs="Calibri"/>
          <w:i/>
          <w:iCs/>
          <w:color w:val="000000"/>
          <w:sz w:val="22"/>
          <w:szCs w:val="22"/>
        </w:rPr>
        <w:t xml:space="preserve">Revista Brasileira de Meteorologia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77–84.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Ru, Brazzel R &amp; Poucher C (1983) Population density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and its parasites in urban Florida in 1979 –1981.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878–884.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 Hamon AB &amp; Fasulo TR (1998)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(Insecta: Hemiptera: Aleyrodidae). Gainesville Florida Department of Agriculture &amp; Consumer Service-Division of Plant Industry. 3: EENY-42.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MRV, Silva CCA, Návia D, De Paula SV (2001) A mosca negra dos 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Brasília, DF: Ministério da Agricultura, Pecuária e Abastecimento, (Alerta Quarentenário), pp 12.</w:t>
      </w:r>
    </w:p>
    <w:p>
      <w:pPr>
        <w:widowControl w:val="on"/>
        <w:pBdr/>
        <w:spacing w:before="220" w:after="220" w:line="240" w:lineRule="auto"/>
        <w:ind w:left="0" w:right="0"/>
        <w:jc w:val="left"/>
      </w:pPr>
      <w:r>
        <w:rPr>
          <w:rFonts w:ascii="Calibri" w:hAnsi="Calibri" w:eastAsia="Calibri" w:cs="Calibri"/>
          <w:color w:val="000000"/>
          <w:sz w:val="22"/>
          <w:szCs w:val="22"/>
        </w:rPr>
        <w:t xml:space="preserve">Quezada JR (1974) Biological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El Salvador.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243–254. </w:t>
      </w:r>
    </w:p>
    <w:p>
      <w:pPr>
        <w:widowControl w:val="on"/>
        <w:pBdr/>
        <w:spacing w:before="220" w:after="220" w:line="240" w:lineRule="auto"/>
        <w:ind w:left="0" w:right="0"/>
        <w:jc w:val="left"/>
      </w:pPr>
      <w:r>
        <w:rPr>
          <w:rFonts w:ascii="Calibri" w:hAnsi="Calibri" w:eastAsia="Calibri" w:cs="Calibri"/>
          <w:color w:val="000000"/>
          <w:sz w:val="22"/>
          <w:szCs w:val="22"/>
        </w:rPr>
        <w:t xml:space="preserve">Raga A, Felippe N &amp; Imperato R (2016) Population dynamic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Tahiti Lime in the Eastern of the State of São Paulo, Brazil. </w:t>
      </w:r>
      <w:r>
        <w:rPr>
          <w:rFonts w:ascii="Calibri" w:hAnsi="Calibri" w:eastAsia="Calibri" w:cs="Calibri"/>
          <w:i/>
          <w:iCs/>
          <w:color w:val="000000"/>
          <w:sz w:val="22"/>
          <w:szCs w:val="22"/>
        </w:rPr>
        <w:t xml:space="preserve">Annual Research &amp; Review in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Rao CN &amp; George A (2018) Pests of Citrus. In: Omkar (eds) Pests and Their Management. Springer,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Shaw JG (1950) Hosts of the citrus blackfly in Mexico. </w:t>
      </w:r>
      <w:r>
        <w:rPr>
          <w:rFonts w:ascii="Calibri" w:hAnsi="Calibri" w:eastAsia="Calibri" w:cs="Calibri"/>
          <w:i/>
          <w:iCs/>
          <w:color w:val="000000"/>
          <w:sz w:val="22"/>
          <w:szCs w:val="22"/>
        </w:rPr>
        <w:t xml:space="preserve">United States Bureau of Entomology and Plant Quarantine</w:t>
      </w:r>
      <w:r>
        <w:rPr>
          <w:rFonts w:ascii="Calibri" w:hAnsi="Calibri" w:eastAsia="Calibri" w:cs="Calibri"/>
          <w:color w:val="000000"/>
          <w:sz w:val="22"/>
          <w:szCs w:val="22"/>
        </w:rPr>
        <w:t xml:space="preserve"> E-793. 3 pp.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AG, Farias PRS, Boiça Junior AL &amp; Souza BHS (2011) Mosca-negra-dos-citros: Características gerais, bioecologia e métodos de controle dessa importante praga quarentenária da citricultura Brasileira. </w:t>
      </w:r>
      <w:r>
        <w:rPr>
          <w:rFonts w:ascii="Calibri" w:hAnsi="Calibri" w:eastAsia="Calibri" w:cs="Calibri"/>
          <w:i/>
          <w:iCs/>
          <w:color w:val="000000"/>
          <w:sz w:val="22"/>
          <w:szCs w:val="22"/>
        </w:rPr>
        <w:t xml:space="preserve">EntomoBrasilis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85-91.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JLG, Batista J de L, Silva JG, Brito CH (2012) Use of vegetable oils in the control of the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The 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182-186.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JDC, Beserra-Junior JEA, Girão-Filho JE, Silva RBQ, Medeiros WR, Carvalho DS &amp; Silva PRR (2015) First report of citrus blackfly (Hemiptera: Aleyrodidae) in the state of Piauí, Brazil.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499-500.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HD, Maltby HL &amp; Jimenez EJ (1964) Biological control of the citrus blackfly in Mexico. USDA Technical Bulletin 1964; 1311. pp. 30.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DS, Cruz LS &amp; Pereira RC (2021) Methanolic extract of the root bark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(Willd.) Poiret to control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w:t>
      </w:r>
      <w:r>
        <w:rPr>
          <w:rFonts w:ascii="Calibri" w:hAnsi="Calibri" w:eastAsia="Calibri" w:cs="Calibri"/>
          <w:i/>
          <w:iCs/>
          <w:color w:val="000000"/>
          <w:sz w:val="22"/>
          <w:szCs w:val="22"/>
        </w:rPr>
        <w:t xml:space="preserve">Proceedings of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International Electronic Conference on Entomology</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Hart WG, Caballero JM &amp; Saenz I (1983) Biological control of citrus blackfly (Homoptera: Aleyrodidae) in Texas.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782–786.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&amp; Hart WG (1986) Correlation between flight trap response and foliar densities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(2), 81-83.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(2007) Integrated pest management with the sterile insect technique. In: Koul O, Cuperus GW. Ecologically based integrated pest management. 1st ed. CABI, Wallingford (GB),  p. 200-1.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CR, Cornell JA &amp; Sailerl RI (1987) Interactions of parasites and a hyperparasite in biological control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Barbosa VO, Batista JL, Souza WCO, Silva JG, Malaquias JB &amp; Batista JL (2016) Potassium silicate-induced resistance against blackfly in seedlings of </w:t>
      </w:r>
      <w:r>
        <w:rPr>
          <w:rFonts w:ascii="Calibri" w:hAnsi="Calibri" w:eastAsia="Calibri" w:cs="Calibri"/>
          <w:i/>
          <w:iCs/>
          <w:color w:val="000000"/>
          <w:sz w:val="22"/>
          <w:szCs w:val="22"/>
        </w:rPr>
        <w:t xml:space="preserve">Citrus reticulata. 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49-55.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Batista JL, Oliveira R, Malaquias JB &amp; Souza GMM (2017)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Citrus: Opportunities and Challenges to Implement a Sustainable Management. In: Citrus Pathology, Gill Harsimran and Garg Harsh, IntechOpen, </w:t>
      </w:r>
    </w:p>
    <w:p>
      <w:pPr>
        <w:widowControl w:val="on"/>
        <w:pBdr/>
        <w:spacing w:before="220" w:after="220" w:line="240" w:lineRule="auto"/>
        <w:ind w:left="0" w:right="0"/>
        <w:jc w:val="left"/>
      </w:pPr>
      <w:r>
        <w:rPr>
          <w:rFonts w:ascii="Calibri" w:hAnsi="Calibri" w:eastAsia="Calibri" w:cs="Calibri"/>
          <w:color w:val="000000"/>
          <w:sz w:val="22"/>
          <w:szCs w:val="22"/>
        </w:rPr>
        <w:t xml:space="preserve">Villavicencio ALCH, Araújo MM, Fanaro GB, Costa HHSF, Silva PPV, Arthur V &amp; Faria JT (2009) Gamma irradiation as a quarantine treatment against eggs of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w:t>
      </w:r>
      <w:r>
        <w:rPr>
          <w:rFonts w:ascii="Calibri" w:hAnsi="Calibri" w:eastAsia="Calibri" w:cs="Calibri"/>
          <w:i/>
          <w:iCs/>
          <w:color w:val="000000"/>
          <w:sz w:val="22"/>
          <w:szCs w:val="22"/>
        </w:rPr>
        <w:t xml:space="preserve">International Nuclear Atlantic Conference</w:t>
      </w:r>
      <w:r>
        <w:rPr>
          <w:rFonts w:ascii="Calibri" w:hAnsi="Calibri" w:eastAsia="Calibri" w:cs="Calibri"/>
          <w:color w:val="000000"/>
          <w:sz w:val="22"/>
          <w:szCs w:val="22"/>
        </w:rPr>
        <w:t xml:space="preserve">, Rio de Janeiro, Brazil, ISBN: 978-85-99141-03-8 </w:t>
      </w:r>
    </w:p>
    <w:p>
      <w:pPr>
        <w:widowControl w:val="on"/>
        <w:pBdr/>
        <w:spacing w:before="220" w:after="220" w:line="240" w:lineRule="auto"/>
        <w:ind w:left="0" w:right="0"/>
        <w:jc w:val="left"/>
      </w:pPr>
      <w:r>
        <w:rPr>
          <w:rFonts w:ascii="Calibri" w:hAnsi="Calibri" w:eastAsia="Calibri" w:cs="Calibri"/>
          <w:color w:val="000000"/>
          <w:sz w:val="22"/>
          <w:szCs w:val="22"/>
        </w:rPr>
        <w:t xml:space="preserve">Watts WS &amp; Alam M (1973) Spray trials against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on limes in the Oman. Miscellaneous Report, Overseas Development Administration, Foreign and Commonwealth Office, No. 8:7 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Kairo MTK &amp; Lopez V (2005) Classical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(5), 751–759.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Available from: </w:t>
      </w:r>
      <w:hyperlink r:id="rId6764669e8075940b0"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on 02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supporting publication 2019: EN-1565. 17 pp. </w:t>
      </w:r>
      <w:hyperlink r:id="rId7837669e80759412e" w:history="1">
        <w:r>
          <w:rPr>
            <w:rFonts w:ascii="Calibri" w:hAnsi="Calibri" w:eastAsia="Calibri" w:cs="Calibri"/>
            <w:color w:val="0000CC"/>
            <w:sz w:val="22"/>
            <w:szCs w:val="22"/>
            <w:u w:val="single"/>
          </w:rPr>
          <w:t xml:space="preserve">https://doi.org/10.2903/sp.efsa.2019.EN-1565</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Antigoni Akrivou, Benaki Phytopathological Institute (GR).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EPPO datasheets on pests recommended for regulation. Available online. </w:t>
      </w:r>
      <w:hyperlink r:id="rId3289669e8075941e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103,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 pp. </w:t>
      </w:r>
      <w:hyperlink r:id="rId7501669e80759436f" w:history="1">
        <w:r>
          <w:rPr>
            <w:rFonts w:ascii="Calibri" w:hAnsi="Calibri" w:eastAsia="Calibri" w:cs="Calibri"/>
            <w:color w:val="0000CC"/>
            <w:sz w:val="22"/>
            <w:szCs w:val="22"/>
            <w:u w:val="single"/>
          </w:rPr>
          <w:t xml:space="preserve">https://doi.org/10.1111/j.1365-2338.1981.tb01737.x</w:t>
        </w:r>
      </w:hyperlink>
      <w:r>
        <w:rPr>
          <w:rFonts w:ascii="Calibri" w:hAnsi="Calibri" w:eastAsia="Calibri" w:cs="Calibri"/>
          <w:color w:val="000000"/>
          <w:sz w:val="22"/>
          <w:szCs w:val="22"/>
        </w:rPr>
        <w:t xml:space="preserve"> </w:t>
      </w:r>
    </w:p>
    <w:p>
      <w:r>
        <w:drawing>
          <wp:inline distT="0" distB="0" distL="0" distR="0">
            <wp:extent cx="1800000" cy="604800"/>
            <wp:docPr id="22006445" name="name2172669e8075943f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39669e8075943f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09364">
    <w:multiLevelType w:val="hybridMultilevel"/>
    <w:lvl w:ilvl="0" w:tplc="83576589">
      <w:start w:val="1"/>
      <w:numFmt w:val="decimal"/>
      <w:lvlText w:val="%1."/>
      <w:lvlJc w:val="left"/>
      <w:pPr>
        <w:ind w:left="720" w:hanging="360"/>
      </w:pPr>
    </w:lvl>
    <w:lvl w:ilvl="1" w:tplc="83576589" w:tentative="1">
      <w:start w:val="1"/>
      <w:numFmt w:val="lowerLetter"/>
      <w:lvlText w:val="%2."/>
      <w:lvlJc w:val="left"/>
      <w:pPr>
        <w:ind w:left="1440" w:hanging="360"/>
      </w:pPr>
    </w:lvl>
    <w:lvl w:ilvl="2" w:tplc="83576589" w:tentative="1">
      <w:start w:val="1"/>
      <w:numFmt w:val="lowerRoman"/>
      <w:lvlText w:val="%3."/>
      <w:lvlJc w:val="right"/>
      <w:pPr>
        <w:ind w:left="2160" w:hanging="180"/>
      </w:pPr>
    </w:lvl>
    <w:lvl w:ilvl="3" w:tplc="83576589" w:tentative="1">
      <w:start w:val="1"/>
      <w:numFmt w:val="decimal"/>
      <w:lvlText w:val="%4."/>
      <w:lvlJc w:val="left"/>
      <w:pPr>
        <w:ind w:left="2880" w:hanging="360"/>
      </w:pPr>
    </w:lvl>
    <w:lvl w:ilvl="4" w:tplc="83576589" w:tentative="1">
      <w:start w:val="1"/>
      <w:numFmt w:val="lowerLetter"/>
      <w:lvlText w:val="%5."/>
      <w:lvlJc w:val="left"/>
      <w:pPr>
        <w:ind w:left="3600" w:hanging="360"/>
      </w:pPr>
    </w:lvl>
    <w:lvl w:ilvl="5" w:tplc="83576589" w:tentative="1">
      <w:start w:val="1"/>
      <w:numFmt w:val="lowerRoman"/>
      <w:lvlText w:val="%6."/>
      <w:lvlJc w:val="right"/>
      <w:pPr>
        <w:ind w:left="4320" w:hanging="180"/>
      </w:pPr>
    </w:lvl>
    <w:lvl w:ilvl="6" w:tplc="83576589" w:tentative="1">
      <w:start w:val="1"/>
      <w:numFmt w:val="decimal"/>
      <w:lvlText w:val="%7."/>
      <w:lvlJc w:val="left"/>
      <w:pPr>
        <w:ind w:left="5040" w:hanging="360"/>
      </w:pPr>
    </w:lvl>
    <w:lvl w:ilvl="7" w:tplc="83576589" w:tentative="1">
      <w:start w:val="1"/>
      <w:numFmt w:val="lowerLetter"/>
      <w:lvlText w:val="%8."/>
      <w:lvlJc w:val="left"/>
      <w:pPr>
        <w:ind w:left="5760" w:hanging="360"/>
      </w:pPr>
    </w:lvl>
    <w:lvl w:ilvl="8" w:tplc="83576589" w:tentative="1">
      <w:start w:val="1"/>
      <w:numFmt w:val="lowerRoman"/>
      <w:lvlText w:val="%9."/>
      <w:lvlJc w:val="right"/>
      <w:pPr>
        <w:ind w:left="6480" w:hanging="180"/>
      </w:pPr>
    </w:lvl>
  </w:abstractNum>
  <w:abstractNum w:abstractNumId="97709363">
    <w:multiLevelType w:val="hybridMultilevel"/>
    <w:lvl w:ilvl="0" w:tplc="942145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09363">
    <w:abstractNumId w:val="97709363"/>
  </w:num>
  <w:num w:numId="97709364">
    <w:abstractNumId w:val="977093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3239109" Type="http://schemas.microsoft.com/office/2011/relationships/commentsExtended" Target="commentsExtended.xml"/><Relationship Id="rId845062200" Type="http://schemas.microsoft.com/office/2011/relationships/people" Target="people.xml"/><Relationship Id="rId5208669e80758e827" Type="http://schemas.openxmlformats.org/officeDocument/2006/relationships/hyperlink" Target="https://gd.eppo.int/taxon/ALECWO/" TargetMode="External"/><Relationship Id="rId5518669e80758e88f" Type="http://schemas.openxmlformats.org/officeDocument/2006/relationships/hyperlink" Target="https://gd.eppo.int/taxon/ALECWO/categorization" TargetMode="External"/><Relationship Id="rId7203669e80758f1b4" Type="http://schemas.openxmlformats.org/officeDocument/2006/relationships/hyperlink" Target="https://gd.eppo.int/taxon/ALECWO/photos" TargetMode="External"/><Relationship Id="rId6281669e807591fa0" Type="http://schemas.openxmlformats.org/officeDocument/2006/relationships/hyperlink" Target="https://www.ncbi.nlm.nih.gov/nuccore/JX281760.1" TargetMode="External"/><Relationship Id="rId5805669e807592dbc" Type="http://schemas.openxmlformats.org/officeDocument/2006/relationships/hyperlink" Target="https://doi.org/10.1371/journal.pone.0261626" TargetMode="External"/><Relationship Id="rId2167669e807592e5c" Type="http://schemas.openxmlformats.org/officeDocument/2006/relationships/hyperlink" Target="https://doi.org/10.1590/0103-8478cr20151101" TargetMode="External"/><Relationship Id="rId8563669e80759311f" Type="http://schemas.openxmlformats.org/officeDocument/2006/relationships/hyperlink" Target="https://doi.org/10.2903/sp.efsa.2014.EN-676" TargetMode="External"/><Relationship Id="rId6764669e8075940b0" Type="http://schemas.openxmlformats.org/officeDocument/2006/relationships/hyperlink" Target="https://www.cabi.org/isc/datasheet/4137" TargetMode="External"/><Relationship Id="rId7837669e80759412e" Type="http://schemas.openxmlformats.org/officeDocument/2006/relationships/hyperlink" Target="https://doi.org/10.2903/sp.efsa.2019.EN-1565" TargetMode="External"/><Relationship Id="rId3289669e8075941ee" Type="http://schemas.openxmlformats.org/officeDocument/2006/relationships/hyperlink" Target="https://gd.eppo.int" TargetMode="External"/><Relationship Id="rId7501669e80759436f" Type="http://schemas.openxmlformats.org/officeDocument/2006/relationships/hyperlink" Target="https://doi.org/10.1111/j.1365-2338.1981.tb01737.x" TargetMode="External"/><Relationship Id="rId3410669e80758f0aa" Type="http://schemas.openxmlformats.org/officeDocument/2006/relationships/image" Target="media/imgrId3410669e80758f0aa.jpg"/><Relationship Id="rId1853669e8075916c0" Type="http://schemas.openxmlformats.org/officeDocument/2006/relationships/image" Target="media/imgrId1853669e8075916c0.jpg"/><Relationship Id="rId8139669e8075943f1" Type="http://schemas.openxmlformats.org/officeDocument/2006/relationships/image" Target="media/imgrId8139669e8075943f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