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Ambrosia trifida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Ambrosia trifida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buffalo weed, crownweed (US), giant ragweed (US), great ragweed, horseweed (US), wild hemp (US)</w:t>
            </w:r>
            <w:hyperlink r:id="rId2159669e924638dd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611669e924638e1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AMBTR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793241" name="name2874669e9246395e3" descr="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8.jpg"/>
                          <pic:cNvPicPr/>
                        </pic:nvPicPr>
                        <pic:blipFill>
                          <a:blip r:embed="rId7343669e9246395e1" cstate="print"/>
                          <a:stretch>
                            <a:fillRect/>
                          </a:stretch>
                        </pic:blipFill>
                        <pic:spPr>
                          <a:xfrm>
                            <a:off x="0" y="0"/>
                            <a:ext cx="2160000" cy="1281600"/>
                          </a:xfrm>
                          <a:prstGeom prst="rect">
                            <a:avLst/>
                          </a:prstGeom>
                          <a:ln w="0">
                            <a:noFill/>
                          </a:ln>
                        </pic:spPr>
                      </pic:pic>
                    </a:graphicData>
                  </a:graphic>
                </wp:inline>
              </w:drawing>
            </w:r>
            <w:hyperlink r:id="rId1564669e92463973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is native to North America where the species is recorded as being weedy in many states (USDA, 2020). In North America,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seems to prefer establishment at latitudes between 45° and 30° north because of fairly strict photoperiodic constraints for flowering, which may maximize its reproduction (Allard, 1943).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was introduced into the EPPO region at the end of the 19th century, and it has expanded its range since the mid-1900s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Many of the occurrences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are considered casual populations. There are, however, well-established populations in western Europe, with high densities in south-west France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is also considered established in a large part of Italy.</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the first record was in 1952 from the Shizuoka Prefecture (Honshu) and now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in almost the entire country. In South Korea,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first recorded in the Seoul metropolitan area during the 1970s and it is now widely naturalized in the country (Kim, 2017). Qin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detail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introduced into China in 1935 from North America. For China, the literature reports differences in the number of provinces where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for example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 five and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lists 12.</w:t>
      </w:r>
    </w:p>
    <w:p>
      <w:r>
        <w:drawing>
          <wp:inline distT="0" distB="0" distL="0" distR="0">
            <wp:extent cx="6120000" cy="3067200"/>
            <wp:docPr id="78894367" name="name4197669e92463a5a5" descr="AMB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TR_distribution_map.jpg"/>
                    <pic:cNvPicPr/>
                  </pic:nvPicPr>
                  <pic:blipFill>
                    <a:blip r:embed="rId3190669e92463a5a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Czech Republic, Denmark, Estonia, France (mainland), Georgia, Germany, Ireland, Italy (mainland), Latvia, Lithuania, Moldova, Netherlands, Norway, Poland, Romania, Russia (Central Russia, Southern Russia), Serbia, Slovakia, Slovenia, Spain (mainland), Switzerland,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Hubei, Hunan, Jiangxi, Jilin, Liaoning, Neimenggu, Shandong, Xinjiang, Zhejiang), Japan, Korea, Republic, Mongolia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Nova Scotia, Ontario, Prince Edward Island,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has large leaves (4-15 cm long). They are oppositely arranged, simple and palmately lobed, generally with three lobes (they may also have five lobes or be unlobed). The upper leaves can be alternate. They are borne on a long petiole (3–12 cm). Male and female flowers are separated on the same individual (monoecious plant). The inflorescences are long terminal clusters (30 cm) consisting of florets of male flowers. The female flowers are grouped into florets at the base of the male clusters and sometimes in the axils of the upper leaves. The fruit is a cup-shaped cypsela, tipped with a long central beak surrounded by a crown of approximately five or more shorter tips. It measures from 0.5 to 1.2 cm long and from 0.3 to 0.5 cm wide.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characterized by enormous variability in the size and shape of its seeds, which may correspond to an ability to germinate in a variety of conditions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has a comparatively low fecundity (compared to other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transient seed-bank characteristics and a high percentage of non-viable seeds (Harrison</w:t>
      </w:r>
      <w:r>
        <w:rPr>
          <w:rFonts w:ascii="Calibri" w:hAnsi="Calibri" w:eastAsia="Calibri" w:cs="Calibri"/>
          <w:i/>
          <w:iCs/>
          <w:color w:val="000000"/>
          <w:sz w:val="22"/>
          <w:szCs w:val="22"/>
        </w:rPr>
        <w:t xml:space="preserve"> 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2001, 2007). Goplen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 that plants produced an average of 1800 seeds per plant in soybean and field margins, with 66% being potentially viable. The majority (90% or more)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seeds buried 10 cm or less lost viability after 4 years (Stoller &amp; Wax, 1974;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some seeds remained viable for 9 to 21 years when buried 20 cm or deeper (Toole &amp; Brown, 1946;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Because of their high nutritional value, the seeds are often eaten by animals (e.g. birds and rodents), causing high losses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It should be noted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only reproduces by seed and not vegetatively.</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and the native range, seedlings typically emerge early in the growing season (e.g. March) and over a prolonged period (March until the end of July; Regnier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Flowering occurs in response to shortening day length and begins in the male inflorescences (Allard,   1943).   In   the   native   range   (North   America),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flowers from mid-June to the end of August, or even early September (Bassett &amp; Crompton, 1982). The species can flower 2–3 weeks earlier than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In south-west France, the flowering dates observed are similar to those in its area of origin (B. Chauvel, pers. comm., 2019).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grows in different types of herbaceous communities, including ruderal habitats such as railroad embankments, roadsides  and cultivated  fields, on rather rich and moist soil (Bassett &amp; Crompton, 1982; Hartnett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Krippel &amp; Colling, 2006;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is also found in damp natural environments, particularly on riverbanks and floodplains as well as managed moist environments such as the banks of irrigation ditches and waterways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can be found predominantly along riverbanks, mostly in disturbed locations (artificial banks, bridges and quarries) but also in the riverine vegetation (Miyawaki &amp; Washitani, 2004). In South Korea, it occurs in the riparian systems of streams and rivers and around agricultural fields, on road edges and landfill sites and, recently, it has also invaded forest edges and interiors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Japan and South Korea,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grows also in semi-natural areas (Miyawaki &amp; Washitani, 2004;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Suitable habitats occur for the establishment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It currently occupies different environments: agricultural land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banks of major water courses such as the Rhine and the Elbe, the banks of  streams   or  canals  (Jehlík &amp; Hejný,  1974), road networks and other disturbed environments (e.g. abandoned industrial sites), as well as green urban areas (gardens; Moser &amp; Essl, 2013).</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are unsuitable, and thus negative effects of this plant on biodiversity are considered to be of low importance. Nevertheless, some data are available on A. trifida showing that it is able to invade natural riverside vegetation. There are no data for negative impacts of the species on rivers, especially for where it occurs in the Po Valley (Italy) in the EPPO region. In Central and Eastern Europe,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mainly occupies ruderal habitats including railway tracks and cultivated fields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According to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may be established around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bushes close to the railway at the exit of the town of Dalgopol (Bulgaria). In Western Europe (France), the species only occupies cultivated fields.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well adapted to drought, and it is not recorded in areas with a long summer drought unless there is irrigation (Allard, 1943;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Establishment is favoured by moist environments. A. trifida can tolerate a wide variety of soil types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Seeds germinate under a wide range of temperatures with an optimum germination between 10 and 24°C (Abul-Fatih &amp; Bazzaz, 1979). The seedlings can develop quickly within 4 to 13 days (Abul-Fatih &amp; Bazzaz, 1979).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can emerge over a long period of time (March to June/July). In France, it emerges together with spring crops or a few days after crop emergence. Soybean is seeded in May in France. In south-west France, germination and emergence can begin as early as the end of March and continue later until the end of summer, especially in irrigated fields (Mamarot &amp; Rodriguez,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has high photosynthetic ability compared to most annual species (Barnett &amp; Steckel, 2013). It is damaged (i.e. damage to the foliage), but not killed by moderate frost.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there is variation in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plant traits at both large and small geographic scales. Populations in the western USA corn belt had nearly four times greater fecundity and a 50% greater allocation to reproduction than populations in the eastern USA corn belt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seedling emergence patterns  differ among populations in agricultural fields (Sprague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2008). For example, the latter author showed that seeds which were from Iowa (western USA corn belt) produced seedlings in a rapid flush during early April, whereas seeds from Illinois and Ohio (eastern USA corn belt) produced seedlings in a more gradual flush that extended into late  July. Seedling emergence patterns also differ between agricultural and non-agricultural environments. Populations from agricultural habitats exhibited a more prolonged emergence pattern than those from riparian, early successional, railroad siding or forest border habitats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uses and benefits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Globally,  there  have   been   numerous  interceptions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as a contaminant of seed or as a contaminant of grain (Shamonin &amp; Smetnik, 1986). A. trifida has been introduced in Europe with imports of animal feed and seed. There are documented cases of the introduction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into the EPPO region (Europe) via seed from crops imported from North America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includes contamination of spring wheat seed for planting (Moser &amp; Essl, 2013), soybean seed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maize seed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COSAVE, 2019) and seed of other spring crops (sunflower, sorghum; G. Fried, pers. comm.,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highly competitive and can form annual monospecific stands in ruderal habitats, forest borders, grassland habitats and riparian habitats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agricultural environments, the plant’s significant and rapid development gives it a strong ability to enter into competition with different summer crops: soybean, cotton and maize. Even at very low densities (one plant per 25 m2), loss of crop yield (of around 5%) has been shown, a phenomenon rarely observed for other weeds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Yield reductions of 13–50% have been observed in crop situations, with the losses being greatest when the crop and the weed grow simultaneously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Barnett &amp; Steckel, 2013). In North America, complete crop losses have been reported due to the presence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(E. Regnier,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1994,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estimated the loss of yield in the USA associated with</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in soybeans to be 5– 7% of the yield of the crop. A recent study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farmers in the USA showed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the most difficult weed to manage for 45% of them, while 57% also reported a problem of herbicide resistance, either to acetolactate synthase (ALS) inhibitors or glyphosate (or resistance to both).</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 China,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considered one of the weeds that causes the most economic damage to wheat and other annual crops. It was found that the plant and its residues have allelopathic effects that reduce wheat growth (Kong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it is not currently possible to quantify the economic impacts of this species. In France, in the region of Toulouse, farmers report additional costs associated with hand weeding, and even the destruction of plots before harvesting due to very high densities of plants, meaning the total loss of the crop (A. Rodriguez, pers. comm., 2017). These costs (from a few hundred euros to a few thousand euros per hectare) have not yet been studied to a precise enough degree. At the national level, given the limited distribution of the species and the highly localized nature of the existing populations in the EPPO region (Moser &amp; Essl, 2013; Chauvel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 costs in terms of health or losses of agricultural yields attributable to this species are negligible so far.</w:t>
      </w:r>
    </w:p>
    <w:p>
      <w:pPr>
        <w:widowControl w:val="on"/>
        <w:pBdr/>
        <w:spacing w:before="220" w:after="220" w:line="240" w:lineRule="auto"/>
        <w:ind w:left="0" w:right="0"/>
        <w:jc w:val="both"/>
      </w:pPr>
      <w:r>
        <w:rPr>
          <w:rFonts w:ascii="Calibri" w:hAnsi="Calibri" w:eastAsia="Calibri" w:cs="Calibri"/>
          <w:color w:val="000000"/>
          <w:sz w:val="22"/>
          <w:szCs w:val="22"/>
        </w:rPr>
        <w:t xml:space="preserve">Any action targeting control of this species will generate additional production costs (cost of weeding practices, establishment of less profitable crops or fallow). In the absence of plant health regulations relating to the control of introduction into the EPPO region of seed lots of maize, soybeans, sorghum and sunflower, the risk of introduction of herbicide-resistant genotypes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appears high and such an introduction would result in a very high increase in control costs based on the studies carried out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annual summer crops where it is present,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managed like other weeds without it being subject to additional control measures. Note, however, the arrival on the European market of sunflower varieties tolerant to herbicides intended to control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(and Asteraceae more generally). These varieties, through their tolerance to two herbicides from the class of ALS inhibitors, enable weed control in a post-emergence situation; they were placed on sale in 2010 to improve the post- emergence weed control of sunflower crops in general and more specifically against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These new varieties make it easier to manage the recent problems with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However, the repeated use of such varieties and the associated herbicides risks causing the significant and rapid selection of populations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resistant to these active ingredients in the PRA area, as is currently occurring with </w:t>
      </w:r>
      <w:r>
        <w:rPr>
          <w:rFonts w:ascii="Calibri" w:hAnsi="Calibri" w:eastAsia="Calibri" w:cs="Calibri"/>
          <w:i/>
          <w:iCs/>
          <w:color w:val="000000"/>
          <w:sz w:val="22"/>
          <w:szCs w:val="22"/>
        </w:rPr>
        <w:t xml:space="preserve">A. artemisiifolia </w:t>
      </w:r>
      <w:r>
        <w:rPr>
          <w:rFonts w:ascii="Calibri" w:hAnsi="Calibri" w:eastAsia="Calibri" w:cs="Calibri"/>
          <w:color w:val="000000"/>
          <w:sz w:val="22"/>
          <w:szCs w:val="22"/>
        </w:rPr>
        <w:t xml:space="preserve">(Chauvel &amp; Gard, 2010). An additional problem is the emerging resistance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to glyphosate and ALS-inhibiting  herbicides  (Norsworthy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thus further decreasing the possible avenues for its control, both in agriculture and ruderal areas, such as railways, roadsides etc.</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results of studies conducted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2013 and 2014, the absence of management measures against this species resulted in a total loss of maize yield, even at low weed densities. These results suggest the same level of impact in the PRA area if no control measures are implemented against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the implementation of integrated control against this species – effective chemical weed control, rotation including winter crops and appropriate tillage –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will probably increase, as suggested by the situation with certain plots in south-west France. However, until now, no published information has been available to quantify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PRA area.</w:t>
      </w:r>
    </w:p>
    <w:p>
      <w:pPr>
        <w:widowControl w:val="on"/>
        <w:pBdr/>
        <w:spacing w:before="220" w:after="220" w:line="240" w:lineRule="auto"/>
        <w:ind w:left="0" w:right="0"/>
        <w:jc w:val="both"/>
      </w:pPr>
      <w:r>
        <w:rPr>
          <w:rFonts w:ascii="Calibri" w:hAnsi="Calibri" w:eastAsia="Calibri" w:cs="Calibri"/>
          <w:color w:val="000000"/>
          <w:sz w:val="22"/>
          <w:szCs w:val="22"/>
        </w:rPr>
        <w:t xml:space="preserve">Some countries, such as Russia, Israel and Egypt, refuse imports of cereals contaminated by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mature when winter cereals are harvested in Europe and will not directly contaminate these crops. On the other hand, it is mature at the time of harvesting summer crops (maize, soybean, sunflower and sorghum). Contamination of these crops could prevent their export. As an example, in 2015 the maize export sector from the EU accounted   for  more than  63 million  tonnes (EUROSTAT, 2019). There is a great risk of the additional costs of weed control and/or post-harvest sorting being reflected in market losses due to a higher production cost compared with situations free from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have a low potential to be invaded as they have low levels of disturbance, and thus the negative effects of this plant on biodiversity are considered to be of low importance. Nevertheless, some data are available on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showing that it is able to invade natural riverside vegetation. There are no data for negative impacts of the species on rivers, especially for where it occurs in the Po Valley (Italy) in the EPPO region. However, there is some anecdotal evidence that the species may have impacts on biodiversity from online forums (e.g. Acta Plantarum, an Italian forum for botanists: </w:t>
      </w:r>
      <w:hyperlink r:id="rId2946669e92463b73d" w:history="1">
        <w:r>
          <w:rPr>
            <w:rFonts w:ascii="Calibri" w:hAnsi="Calibri" w:eastAsia="Calibri" w:cs="Calibri"/>
            <w:color w:val="0000CC"/>
            <w:sz w:val="22"/>
            <w:szCs w:val="22"/>
            <w:u w:val="single"/>
          </w:rPr>
          <w:t xml:space="preserve">https://www.floraitaliae.actaplantarum.</w:t>
        </w:r>
      </w:hyperlink>
      <w:r>
        <w:rPr>
          <w:rFonts w:ascii="Calibri" w:hAnsi="Calibri" w:eastAsia="Calibri" w:cs="Calibri"/>
          <w:color w:val="000000"/>
          <w:sz w:val="22"/>
          <w:szCs w:val="22"/>
        </w:rPr>
        <w:t xml:space="preserve"> </w:t>
      </w:r>
      <w:hyperlink r:id="rId4275669e92463b761" w:history="1">
        <w:r>
          <w:rPr>
            <w:rFonts w:ascii="Calibri" w:hAnsi="Calibri" w:eastAsia="Calibri" w:cs="Calibri"/>
            <w:color w:val="0000CC"/>
            <w:sz w:val="22"/>
            <w:szCs w:val="22"/>
            <w:u w:val="single"/>
          </w:rPr>
          <w:t xml:space="preserve">org) </w:t>
        </w:r>
      </w:hyperlink>
      <w:r>
        <w:rPr>
          <w:rFonts w:ascii="Calibri" w:hAnsi="Calibri" w:eastAsia="Calibri" w:cs="Calibri"/>
          <w:color w:val="000000"/>
          <w:sz w:val="22"/>
          <w:szCs w:val="22"/>
        </w:rPr>
        <w:t xml:space="preserve">where comments include that the species has increased from 1 to 100 plants in one year.</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a study on the floral diversity of infested river banks highlighted a decrease in diversity as a function of the density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(Washitani, 2001). Miyawaki and Washitani (1996) found that plant species diversity was negatively correlated with the abundance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a nature reserve of moist tall grasslands along the Arakawa River, near Tokyo/Japan.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demonstrated that the vegetation dominated by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South Korea differed with regard to the composition and diversity of the species to that of the uninvaded riparian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limited data on the impact of the species on habitats, except those on the problems of rehabilitation of fragile grassland environments in the USA (Megyeri, 2011). There is very little data on the invasion area on the environmental impact of infestations of </w:t>
      </w:r>
      <w:r>
        <w:rPr>
          <w:rFonts w:ascii="Calibri" w:hAnsi="Calibri" w:eastAsia="Calibri" w:cs="Calibri"/>
          <w:i/>
          <w:iCs/>
          <w:color w:val="000000"/>
          <w:sz w:val="22"/>
          <w:szCs w:val="22"/>
        </w:rPr>
        <w:t xml:space="preserve">A. trifida.</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been identified as a public health problem since the 1930s due to its allergenic pollen and its presence in urban areas. Historically, Gahn (1933) had already indicated that hundreds of thousands of people were affected by allergy problems without any quantified costs being mentioned. The allergens are well known (Goldstein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Today,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(and its congener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are the main cause of seasonal allergic rhinitis in eastern and middle USA. The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pollen also contributes to the exacerbation of asthma and allergenic conjunctivitis (Oh, 2018). It is recommended that individuals allergic to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pollen may adjust their outdoor activities to avoid contact with the allergen (e.g.</w:t>
      </w:r>
      <w:hyperlink r:id="rId2185669e92463b92e" w:history="1">
        <w:r>
          <w:rPr>
            <w:rFonts w:ascii="Calibri" w:hAnsi="Calibri" w:eastAsia="Calibri" w:cs="Calibri"/>
            <w:color w:val="0000CC"/>
            <w:sz w:val="22"/>
            <w:szCs w:val="22"/>
            <w:u w:val="single"/>
          </w:rPr>
          <w:t xml:space="preserve"> https://www.aafa.org/ragweed-pollen/</w:t>
        </w:r>
      </w:hyperlink>
      <w:r>
        <w:rPr>
          <w:rFonts w:ascii="Calibri" w:hAnsi="Calibri" w:eastAsia="Calibri" w:cs="Calibri"/>
          <w:color w:val="000000"/>
          <w:sz w:val="22"/>
          <w:szCs w:val="22"/>
        </w:rPr>
        <w:t xml:space="preserve">). The health effect remains significant to such a point that visitor numbers at certain tourist sites are affected according to the presence of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Consequently, tourism can be impaired if visitors avoid areas with high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occurrence (Durham, 1949).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plot scale, it is technically possible to achieve total control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by a combination of chemical and mechanical weed control and agronomic practices. Currently, the development of resistance to herbicides, particularly to ALS inhibitors and glyphosate, is reducing the effectiveness of control (Heap, 2017). Moreover, supplementary mechanical management is not really feasible on a large scale. At the regional scale, it is likely that the spread cannot be reliably prevented, as shown by the progression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 the North American continent (Royer &amp; Dickinson,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is is included on the EPPO A2 list of pests recommended for regulation as a quarantine pest. It is also listed by the Eurasian Economic Union (A2 List).</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are regulated in Directive 2002/32/ EC as undesirable substances in animal feed. In the EU, grain intended for bird feed is subject to regulations that severely restrict the presence of seeds of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(50 mg kg-1 of grain, Regulation (EU) 2015/186 of 6 February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the status of ‘restricted noxious weed’ in four states (California, Delaware, New Jersey and Wisconsin) under the Federal Seed Act (USDA, 2018) and the status of ‘noxious weed’ in four states [California, Delaware, Illinois  and  Minnesota   (in two counties  only)] under the Federal Noxious Weed Act and Minnesota Noxious Weed Law (USDA, </w:t>
      </w:r>
      <w:hyperlink r:id="rId4031669e92463bb15" w:history="1">
        <w:r>
          <w:rPr>
            <w:rFonts w:ascii="Calibri" w:hAnsi="Calibri" w:eastAsia="Calibri" w:cs="Calibri"/>
            <w:color w:val="0000CC"/>
            <w:sz w:val="22"/>
            <w:szCs w:val="22"/>
            <w:u w:val="single"/>
          </w:rPr>
          <w:t xml:space="preserve">https://plants.usda.gov/java/</w:t>
        </w:r>
      </w:hyperlink>
      <w:r>
        <w:rPr>
          <w:rFonts w:ascii="Calibri" w:hAnsi="Calibri" w:eastAsia="Calibri" w:cs="Calibri"/>
          <w:color w:val="000000"/>
          <w:sz w:val="22"/>
          <w:szCs w:val="22"/>
        </w:rPr>
        <w:t xml:space="preserve"> </w:t>
      </w:r>
      <w:hyperlink r:id="rId9207669e92463bb49" w:history="1">
        <w:r>
          <w:rPr>
            <w:rFonts w:ascii="Calibri" w:hAnsi="Calibri" w:eastAsia="Calibri" w:cs="Calibri"/>
            <w:color w:val="0000CC"/>
            <w:sz w:val="22"/>
            <w:szCs w:val="22"/>
            <w:u w:val="single"/>
          </w:rPr>
          <w:t xml:space="preserve">noxComposite?stateRpt=yes; </w:t>
        </w:r>
      </w:hyperlink>
      <w:r>
        <w:rPr>
          <w:rFonts w:ascii="Calibri" w:hAnsi="Calibri" w:eastAsia="Calibri" w:cs="Calibri"/>
          <w:color w:val="000000"/>
          <w:sz w:val="22"/>
          <w:szCs w:val="22"/>
        </w:rPr>
        <w:t xml:space="preserve">Minnesota Department of agriculture, </w:t>
      </w:r>
      <w:hyperlink r:id="rId9292669e92463bb69" w:history="1">
        <w:r>
          <w:rPr>
            <w:rFonts w:ascii="Calibri" w:hAnsi="Calibri" w:eastAsia="Calibri" w:cs="Calibri"/>
            <w:color w:val="0000CC"/>
            <w:sz w:val="22"/>
            <w:szCs w:val="22"/>
            <w:u w:val="single"/>
          </w:rPr>
          <w:t xml:space="preserve">https://www.mda.state.mn.us/plants/pestmanageme</w:t>
        </w:r>
      </w:hyperlink>
      <w:r>
        <w:rPr>
          <w:rFonts w:ascii="Calibri" w:hAnsi="Calibri" w:eastAsia="Calibri" w:cs="Calibri"/>
          <w:color w:val="000000"/>
          <w:sz w:val="22"/>
          <w:szCs w:val="22"/>
        </w:rPr>
        <w:t xml:space="preserve"> </w:t>
      </w:r>
      <w:hyperlink r:id="rId6926669e92463bb92" w:history="1">
        <w:r>
          <w:rPr>
            <w:rFonts w:ascii="Calibri" w:hAnsi="Calibri" w:eastAsia="Calibri" w:cs="Calibri"/>
            <w:color w:val="0000CC"/>
            <w:sz w:val="22"/>
            <w:szCs w:val="22"/>
            <w:u w:val="single"/>
          </w:rPr>
          <w:t xml:space="preserve">nt/weedcontrol/noxiouslist/countynoxiousweeds).</w:t>
        </w:r>
      </w:hyperlink>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listed as a ‘primary noxious weed’ under the Weed Seeds Order of the Seeds Act</w:t>
      </w:r>
      <w:hyperlink r:id="rId6780669e92463bbe8" w:history="1">
        <w:r>
          <w:rPr>
            <w:rFonts w:ascii="Calibri" w:hAnsi="Calibri" w:eastAsia="Calibri" w:cs="Calibri"/>
            <w:color w:val="0000CC"/>
            <w:sz w:val="22"/>
            <w:szCs w:val="22"/>
            <w:u w:val="single"/>
          </w:rPr>
          <w:t xml:space="preserve"> (http://www.gazette.gc.ca/rp-pr/p2/2016/2016-05-18/html/</w:t>
        </w:r>
      </w:hyperlink>
      <w:hyperlink r:id="rId8052669e92463bbfc" w:history="1">
        <w:r>
          <w:rPr>
            <w:rFonts w:ascii="Calibri" w:hAnsi="Calibri" w:eastAsia="Calibri" w:cs="Calibri"/>
            <w:color w:val="0000CC"/>
            <w:sz w:val="22"/>
            <w:szCs w:val="22"/>
            <w:u w:val="single"/>
          </w:rPr>
          <w:t xml:space="preserve">sor-dors93-eng.html) </w:t>
        </w:r>
      </w:hyperlink>
      <w:r>
        <w:rPr>
          <w:rFonts w:ascii="Calibri" w:hAnsi="Calibri" w:eastAsia="Calibri" w:cs="Calibri"/>
          <w:color w:val="000000"/>
          <w:sz w:val="22"/>
          <w:szCs w:val="22"/>
        </w:rPr>
        <w:t xml:space="preserve">and as a ‘noxious weed’ under the noxious weed laws in the provinces of Ontario, Quebec, and Manitoba (Ontario Ministry of Agriculture, Food and Rural Affairs, </w:t>
      </w:r>
      <w:hyperlink r:id="rId2301669e92463bc1c" w:history="1">
        <w:r>
          <w:rPr>
            <w:rFonts w:ascii="Calibri" w:hAnsi="Calibri" w:eastAsia="Calibri" w:cs="Calibri"/>
            <w:color w:val="0000CC"/>
            <w:sz w:val="22"/>
            <w:szCs w:val="22"/>
            <w:u w:val="single"/>
          </w:rPr>
          <w:t xml:space="preserve">http://www.omafra.gov.on.ca/english/crops/</w:t>
        </w:r>
      </w:hyperlink>
      <w:r>
        <w:rPr>
          <w:rFonts w:ascii="Calibri" w:hAnsi="Calibri" w:eastAsia="Calibri" w:cs="Calibri"/>
          <w:color w:val="000000"/>
          <w:sz w:val="22"/>
          <w:szCs w:val="22"/>
        </w:rPr>
        <w:t xml:space="preserve"> </w:t>
      </w:r>
      <w:hyperlink r:id="rId3175669e92463bc3b" w:history="1">
        <w:r>
          <w:rPr>
            <w:rFonts w:ascii="Calibri" w:hAnsi="Calibri" w:eastAsia="Calibri" w:cs="Calibri"/>
            <w:color w:val="0000CC"/>
            <w:sz w:val="22"/>
            <w:szCs w:val="22"/>
            <w:u w:val="single"/>
          </w:rPr>
          <w:t xml:space="preserve">facts/info_ragweed.htm).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Abul-Fatih HA &amp; Bazzaz FA (1979) The biology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II. Germination, emergence, growth and survival.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817–827.</w:t>
      </w:r>
    </w:p>
    <w:p>
      <w:pPr>
        <w:widowControl w:val="on"/>
        <w:pBdr/>
        <w:spacing w:before="220" w:after="220" w:line="240" w:lineRule="auto"/>
        <w:ind w:left="0" w:right="0"/>
        <w:jc w:val="both"/>
      </w:pPr>
      <w:r>
        <w:rPr>
          <w:rFonts w:ascii="Calibri" w:hAnsi="Calibri" w:eastAsia="Calibri" w:cs="Calibri"/>
          <w:color w:val="000000"/>
          <w:sz w:val="22"/>
          <w:szCs w:val="22"/>
        </w:rPr>
        <w:t xml:space="preserve">Allard HA (1943) The North American ragweeds and their occurrence in other parts of the world.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292–294.</w:t>
      </w:r>
    </w:p>
    <w:p>
      <w:pPr>
        <w:widowControl w:val="on"/>
        <w:pBdr/>
        <w:spacing w:before="220" w:after="220" w:line="240" w:lineRule="auto"/>
        <w:ind w:left="0" w:right="0"/>
        <w:jc w:val="both"/>
      </w:pPr>
      <w:r>
        <w:rPr>
          <w:rFonts w:ascii="Calibri" w:hAnsi="Calibri" w:eastAsia="Calibri" w:cs="Calibri"/>
          <w:color w:val="000000"/>
          <w:sz w:val="22"/>
          <w:szCs w:val="22"/>
        </w:rPr>
        <w:t xml:space="preserve">Barnett KA &amp; Steckel LE (2013)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competition in cotton. Weed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543–548.</w:t>
      </w:r>
    </w:p>
    <w:p>
      <w:pPr>
        <w:widowControl w:val="on"/>
        <w:pBdr/>
        <w:spacing w:before="220" w:after="220" w:line="240" w:lineRule="auto"/>
        <w:ind w:left="0" w:right="0"/>
        <w:jc w:val="both"/>
      </w:pPr>
      <w:r>
        <w:rPr>
          <w:rFonts w:ascii="Calibri" w:hAnsi="Calibri" w:eastAsia="Calibri" w:cs="Calibri"/>
          <w:color w:val="000000"/>
          <w:sz w:val="22"/>
          <w:szCs w:val="22"/>
        </w:rPr>
        <w:t xml:space="preserve">Bassett IJ &amp; Crompton CW (1982) The biology of Canadian weeds. 55. Ambrosia trifida L. Canadian Journal of </w:t>
      </w:r>
      <w:r>
        <w:rPr>
          <w:rFonts w:ascii="Calibri" w:hAnsi="Calibri" w:eastAsia="Calibri" w:cs="Calibri"/>
          <w:i/>
          <w:iCs/>
          <w:color w:val="000000"/>
          <w:sz w:val="22"/>
          <w:szCs w:val="22"/>
        </w:rPr>
        <w:t xml:space="preserve">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1003– 1010.</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&amp; Gard B (2010) G'erer l’ambroisie 'a feuilles d’armoise. Phytoma, La De/fense des Ve/ge/taux,</w:t>
      </w:r>
      <w:r>
        <w:rPr>
          <w:rFonts w:ascii="Calibri" w:hAnsi="Calibri" w:eastAsia="Calibri" w:cs="Calibri"/>
          <w:b/>
          <w:bCs/>
          <w:color w:val="000000"/>
          <w:sz w:val="22"/>
          <w:szCs w:val="22"/>
        </w:rPr>
        <w:t xml:space="preserve"> 633</w:t>
      </w:r>
      <w:r>
        <w:rPr>
          <w:rFonts w:ascii="Calibri" w:hAnsi="Calibri" w:eastAsia="Calibri" w:cs="Calibri"/>
          <w:color w:val="000000"/>
          <w:sz w:val="22"/>
          <w:szCs w:val="22"/>
        </w:rPr>
        <w:t xml:space="preserve">, 12–16.</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Rodriguez A, Moreau C, Martinez Q, Bilon R &amp; Fried G (2015) D'eveloppement d’Ambrosia  trifida L. en  France: connaissances historiques et 'ecologiques en vue d’une 'eradication de l’esp'ece. Journal de Botanique de la  Société Botanique de   France, 71, 25–38.</w:t>
      </w:r>
    </w:p>
    <w:p>
      <w:pPr>
        <w:widowControl w:val="on"/>
        <w:pBdr/>
        <w:spacing w:before="220" w:after="220" w:line="240" w:lineRule="auto"/>
        <w:ind w:left="0" w:right="0"/>
        <w:jc w:val="both"/>
      </w:pPr>
      <w:r>
        <w:rPr>
          <w:rFonts w:ascii="Calibri" w:hAnsi="Calibri" w:eastAsia="Calibri" w:cs="Calibri"/>
          <w:color w:val="000000"/>
          <w:sz w:val="22"/>
          <w:szCs w:val="22"/>
        </w:rPr>
        <w:t xml:space="preserve">COSAVE (2019) Risk analysis for plants as pests for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Inter-American Institute for Cooperation on Agriculture, Comit'e Regional de Sanidad Vegetal del Cono Sur; Alec McClay. Uruguay: IICA, 2018. </w:t>
      </w:r>
      <w:hyperlink r:id="rId2278669e92463bed9" w:history="1">
        <w:r>
          <w:rPr>
            <w:rFonts w:ascii="Calibri" w:hAnsi="Calibri" w:eastAsia="Calibri" w:cs="Calibri"/>
            <w:color w:val="0000CC"/>
            <w:sz w:val="22"/>
            <w:szCs w:val="22"/>
            <w:u w:val="single"/>
          </w:rPr>
          <w:t xml:space="preserve">http://repositorio.iica.int/bitstream/11324/7251/2/</w:t>
        </w:r>
      </w:hyperlink>
      <w:r>
        <w:rPr>
          <w:rFonts w:ascii="Calibri" w:hAnsi="Calibri" w:eastAsia="Calibri" w:cs="Calibri"/>
          <w:color w:val="000000"/>
          <w:sz w:val="22"/>
          <w:szCs w:val="22"/>
        </w:rPr>
        <w:t xml:space="preserve"> </w:t>
      </w:r>
      <w:hyperlink r:id="rId1277669e92463bef8" w:history="1">
        <w:r>
          <w:rPr>
            <w:rFonts w:ascii="Calibri" w:hAnsi="Calibri" w:eastAsia="Calibri" w:cs="Calibri"/>
            <w:color w:val="0000CC"/>
            <w:sz w:val="22"/>
            <w:szCs w:val="22"/>
            <w:u w:val="single"/>
          </w:rPr>
          <w:t xml:space="preserve">BVE19019515i.pdf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Durham O (1949) Air-borne allergens in the national parks. </w:t>
      </w:r>
      <w:r>
        <w:rPr>
          <w:rFonts w:ascii="Calibri" w:hAnsi="Calibri" w:eastAsia="Calibri" w:cs="Calibri"/>
          <w:i/>
          <w:iCs/>
          <w:color w:val="000000"/>
          <w:sz w:val="22"/>
          <w:szCs w:val="22"/>
        </w:rPr>
        <w:t xml:space="preserve">Journal of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255–268.</w:t>
      </w:r>
    </w:p>
    <w:p>
      <w:pPr>
        <w:widowControl w:val="on"/>
        <w:pBdr/>
        <w:spacing w:before="220" w:after="220" w:line="240" w:lineRule="auto"/>
        <w:ind w:left="0" w:right="0"/>
        <w:jc w:val="both"/>
      </w:pPr>
      <w:r>
        <w:rPr>
          <w:rFonts w:ascii="Calibri" w:hAnsi="Calibri" w:eastAsia="Calibri" w:cs="Calibri"/>
          <w:color w:val="000000"/>
          <w:sz w:val="22"/>
          <w:szCs w:val="22"/>
        </w:rPr>
        <w:t xml:space="preserve">EUROSTAT (2019) </w:t>
      </w:r>
      <w:hyperlink r:id="rId1797669e92463bfb4" w:history="1">
        <w:r>
          <w:rPr>
            <w:rFonts w:ascii="Calibri" w:hAnsi="Calibri" w:eastAsia="Calibri" w:cs="Calibri"/>
            <w:color w:val="0000CC"/>
            <w:sz w:val="22"/>
            <w:szCs w:val="22"/>
            <w:u w:val="single"/>
          </w:rPr>
          <w:t xml:space="preserve">https://ec.europa.eu/eurostat. </w:t>
        </w:r>
      </w:hyperlink>
      <w:r>
        <w:rPr>
          <w:rFonts w:ascii="Calibri" w:hAnsi="Calibri" w:eastAsia="Calibri" w:cs="Calibri"/>
          <w:color w:val="000000"/>
          <w:sz w:val="22"/>
          <w:szCs w:val="22"/>
        </w:rPr>
        <w:t xml:space="preserve">[accessed on 25th November 2019]</w:t>
      </w:r>
    </w:p>
    <w:p>
      <w:pPr>
        <w:widowControl w:val="on"/>
        <w:pBdr/>
        <w:spacing w:before="220" w:after="220" w:line="240" w:lineRule="auto"/>
        <w:ind w:left="0" w:right="0"/>
        <w:jc w:val="both"/>
      </w:pPr>
      <w:r>
        <w:rPr>
          <w:rFonts w:ascii="Calibri" w:hAnsi="Calibri" w:eastAsia="Calibri" w:cs="Calibri"/>
          <w:color w:val="000000"/>
          <w:sz w:val="22"/>
          <w:szCs w:val="22"/>
        </w:rPr>
        <w:t xml:space="preserve">Moser D &amp; Essl F (2013) Invasion dynamics of three allergenic invasive Asteraceae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Artemisia annua, Iva xanthiifolia) in central and eastern Europe. </w:t>
      </w:r>
      <w:r>
        <w:rPr>
          <w:rFonts w:ascii="Calibri" w:hAnsi="Calibri" w:eastAsia="Calibri" w:cs="Calibri"/>
          <w:i/>
          <w:iCs/>
          <w:color w:val="000000"/>
          <w:sz w:val="22"/>
          <w:szCs w:val="22"/>
        </w:rPr>
        <w:t xml:space="preserve">Preslia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41–61.</w:t>
      </w:r>
    </w:p>
    <w:p>
      <w:pPr>
        <w:widowControl w:val="on"/>
        <w:pBdr/>
        <w:spacing w:before="220" w:after="220" w:line="240" w:lineRule="auto"/>
        <w:ind w:left="0" w:right="0"/>
        <w:jc w:val="both"/>
      </w:pPr>
      <w:r>
        <w:rPr>
          <w:rFonts w:ascii="Calibri" w:hAnsi="Calibri" w:eastAsia="Calibri" w:cs="Calibri"/>
          <w:color w:val="000000"/>
          <w:sz w:val="22"/>
          <w:szCs w:val="22"/>
        </w:rPr>
        <w:t xml:space="preserve">Gahn W (1933) How to control ragweed, the principle cause of autumn hay fever, 95, US Department of Agriculture. p. 3.</w:t>
      </w:r>
    </w:p>
    <w:p>
      <w:pPr>
        <w:widowControl w:val="on"/>
        <w:pBdr/>
        <w:spacing w:before="220" w:after="220" w:line="240" w:lineRule="auto"/>
        <w:ind w:left="0" w:right="0"/>
        <w:jc w:val="both"/>
      </w:pPr>
      <w:r>
        <w:rPr>
          <w:rFonts w:ascii="Calibri" w:hAnsi="Calibri" w:eastAsia="Calibri" w:cs="Calibri"/>
          <w:color w:val="000000"/>
          <w:sz w:val="22"/>
          <w:szCs w:val="22"/>
        </w:rPr>
        <w:t xml:space="preserve">Ganie ZA, Lindquist JL, Jugulam M, Kruger GR, Marx DB &amp; Jhala AJ (2017) An integrated approach to control glyphosate-resistant Ambrosia trifida with tillage and herbicides  in glyphosate-resistant maize.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112–122.</w:t>
      </w:r>
    </w:p>
    <w:p>
      <w:pPr>
        <w:widowControl w:val="on"/>
        <w:pBdr/>
        <w:spacing w:before="220" w:after="220" w:line="240" w:lineRule="auto"/>
        <w:ind w:left="0" w:right="0"/>
        <w:jc w:val="both"/>
      </w:pPr>
      <w:r>
        <w:rPr>
          <w:rFonts w:ascii="Calibri" w:hAnsi="Calibri" w:eastAsia="Calibri" w:cs="Calibri"/>
          <w:color w:val="000000"/>
          <w:sz w:val="22"/>
          <w:szCs w:val="22"/>
        </w:rPr>
        <w:t xml:space="preserve">Goldstein R, Yang WH, Drouin MA &amp; Karsh J (1994) Studies of the hla class-ii alleles involved in human responses to ragweed allergens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v (ra5s) and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v (ra5g).</w:t>
      </w:r>
      <w:r>
        <w:rPr>
          <w:rFonts w:ascii="Calibri" w:hAnsi="Calibri" w:eastAsia="Calibri" w:cs="Calibri"/>
          <w:i/>
          <w:iCs/>
          <w:color w:val="000000"/>
          <w:sz w:val="22"/>
          <w:szCs w:val="22"/>
        </w:rPr>
        <w:t xml:space="preserve"> Tissue Antigens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122–127.</w:t>
      </w:r>
    </w:p>
    <w:p>
      <w:pPr>
        <w:widowControl w:val="on"/>
        <w:pBdr/>
        <w:spacing w:before="220" w:after="220" w:line="240" w:lineRule="auto"/>
        <w:ind w:left="0" w:right="0"/>
        <w:jc w:val="both"/>
      </w:pPr>
      <w:r>
        <w:rPr>
          <w:rFonts w:ascii="Calibri" w:hAnsi="Calibri" w:eastAsia="Calibri" w:cs="Calibri"/>
          <w:color w:val="000000"/>
          <w:sz w:val="22"/>
          <w:szCs w:val="22"/>
        </w:rPr>
        <w:t xml:space="preserve">Goplen JJ, Sheaffer CC, Becker RL, Coulter JA, Breitenbach FR, Behnken LM et al. (2016)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production and   retention in soybean and  field margins.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246–253.</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Harrison JM (2007) Seed size and burial effects on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emergence and seed demise.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16–22.</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Webb JE (2001) Competition and fecundity of giant ragweed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224–229.</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&amp; Schmoll JT (2003) Post dispersal predation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in no-tillage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955–964.</w:t>
      </w:r>
    </w:p>
    <w:p>
      <w:pPr>
        <w:widowControl w:val="on"/>
        <w:pBdr/>
        <w:spacing w:before="220" w:after="220" w:line="240" w:lineRule="auto"/>
        <w:ind w:left="0" w:right="0"/>
        <w:jc w:val="both"/>
      </w:pPr>
      <w:r>
        <w:rPr>
          <w:rFonts w:ascii="Calibri" w:hAnsi="Calibri" w:eastAsia="Calibri" w:cs="Calibri"/>
          <w:color w:val="000000"/>
          <w:sz w:val="22"/>
          <w:szCs w:val="22"/>
        </w:rPr>
        <w:t xml:space="preserve">Hartnett DC, Hartnett BB &amp; Bazzaz FA (1987) Persistence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populations in old fields and responses to successional changes.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1239–1248.</w:t>
      </w:r>
    </w:p>
    <w:p>
      <w:pPr>
        <w:widowControl w:val="on"/>
        <w:pBdr/>
        <w:spacing w:before="220" w:after="220" w:line="240" w:lineRule="auto"/>
        <w:ind w:left="0" w:right="0"/>
        <w:jc w:val="both"/>
      </w:pPr>
      <w:r>
        <w:rPr>
          <w:rFonts w:ascii="Calibri" w:hAnsi="Calibri" w:eastAsia="Calibri" w:cs="Calibri"/>
          <w:color w:val="000000"/>
          <w:sz w:val="22"/>
          <w:szCs w:val="22"/>
        </w:rPr>
        <w:t xml:space="preserve">Heap IM (2017) The International Survey of Herbicide Resistant Weeds. </w:t>
      </w:r>
      <w:hyperlink r:id="rId7983669e92463c3fc" w:history="1">
        <w:r>
          <w:rPr>
            <w:rFonts w:ascii="Calibri" w:hAnsi="Calibri" w:eastAsia="Calibri" w:cs="Calibri"/>
            <w:color w:val="0000CC"/>
            <w:sz w:val="22"/>
            <w:szCs w:val="22"/>
            <w:u w:val="single"/>
          </w:rPr>
          <w:t xml:space="preserve">http://www.weedscience.org/In.asp </w:t>
        </w:r>
      </w:hyperlink>
      <w:r>
        <w:rPr>
          <w:rFonts w:ascii="Calibri" w:hAnsi="Calibri" w:eastAsia="Calibri" w:cs="Calibri"/>
          <w:color w:val="000000"/>
          <w:sz w:val="22"/>
          <w:szCs w:val="22"/>
        </w:rPr>
        <w:t xml:space="preserve">[accessed on 8 March, 2017].</w:t>
      </w:r>
    </w:p>
    <w:p>
      <w:pPr>
        <w:widowControl w:val="on"/>
        <w:pBdr/>
        <w:spacing w:before="220" w:after="220" w:line="240" w:lineRule="auto"/>
        <w:ind w:left="0" w:right="0"/>
        <w:jc w:val="both"/>
      </w:pPr>
      <w:r>
        <w:rPr>
          <w:rFonts w:ascii="Calibri" w:hAnsi="Calibri" w:eastAsia="Calibri" w:cs="Calibri"/>
          <w:color w:val="000000"/>
          <w:sz w:val="22"/>
          <w:szCs w:val="22"/>
        </w:rPr>
        <w:t xml:space="preserve">Hovick S, McArdle A, Harrison S &amp; Regnier E (2018) A mosaic of phenotypic variation in giant ragweed (Ambrosia trifida): local and continental scale patterns in a range-expanding agricultural weed. 2018. </w:t>
      </w:r>
      <w:r>
        <w:rPr>
          <w:rFonts w:ascii="Calibri" w:hAnsi="Calibri" w:eastAsia="Calibri" w:cs="Calibri"/>
          <w:i/>
          <w:iCs/>
          <w:color w:val="000000"/>
          <w:sz w:val="22"/>
          <w:szCs w:val="22"/>
        </w:rPr>
        <w:t xml:space="preserve">Ecological Applications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995–1009.</w:t>
      </w:r>
    </w:p>
    <w:p>
      <w:pPr>
        <w:widowControl w:val="on"/>
        <w:pBdr/>
        <w:spacing w:before="220" w:after="220" w:line="240" w:lineRule="auto"/>
        <w:ind w:left="0" w:right="0"/>
        <w:jc w:val="both"/>
      </w:pPr>
      <w:r>
        <w:rPr>
          <w:rFonts w:ascii="Calibri" w:hAnsi="Calibri" w:eastAsia="Calibri" w:cs="Calibri"/>
          <w:color w:val="000000"/>
          <w:sz w:val="22"/>
          <w:szCs w:val="22"/>
        </w:rPr>
        <w:t xml:space="preserve">Jehl'ık V &amp; Hejn'y S (1974) Main migration routes of adventitious plants in Czechoslovakia. </w:t>
      </w:r>
      <w:r>
        <w:rPr>
          <w:rFonts w:ascii="Calibri" w:hAnsi="Calibri" w:eastAsia="Calibri" w:cs="Calibri"/>
          <w:i/>
          <w:iCs/>
          <w:color w:val="000000"/>
          <w:sz w:val="22"/>
          <w:szCs w:val="22"/>
        </w:rPr>
        <w:t xml:space="preserve">Folia Geobotanica et Phytotaxonomica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241–248.</w:t>
      </w:r>
    </w:p>
    <w:p>
      <w:pPr>
        <w:widowControl w:val="on"/>
        <w:pBdr/>
        <w:spacing w:before="220" w:after="220" w:line="240" w:lineRule="auto"/>
        <w:ind w:left="0" w:right="0"/>
        <w:jc w:val="both"/>
      </w:pPr>
      <w:r>
        <w:rPr>
          <w:rFonts w:ascii="Calibri" w:hAnsi="Calibri" w:eastAsia="Calibri" w:cs="Calibri"/>
          <w:color w:val="000000"/>
          <w:sz w:val="22"/>
          <w:szCs w:val="22"/>
        </w:rPr>
        <w:t xml:space="preserve">Kim KD (2017) Distribution and management of the invasive exotic species Ambrosia trifida and Sicyos angulatus in the Seoul metropolitan area. </w:t>
      </w:r>
      <w:r>
        <w:rPr>
          <w:rFonts w:ascii="Calibri" w:hAnsi="Calibri" w:eastAsia="Calibri" w:cs="Calibri"/>
          <w:i/>
          <w:iCs/>
          <w:color w:val="000000"/>
          <w:sz w:val="22"/>
          <w:szCs w:val="22"/>
        </w:rPr>
        <w:t xml:space="preserve">Journal of Ecological Engineering.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27–36.</w:t>
      </w:r>
    </w:p>
    <w:p>
      <w:pPr>
        <w:widowControl w:val="on"/>
        <w:pBdr/>
        <w:spacing w:before="220" w:after="220" w:line="240" w:lineRule="auto"/>
        <w:ind w:left="0" w:right="0"/>
        <w:jc w:val="both"/>
      </w:pPr>
      <w:r>
        <w:rPr>
          <w:rFonts w:ascii="Calibri" w:hAnsi="Calibri" w:eastAsia="Calibri" w:cs="Calibri"/>
          <w:color w:val="000000"/>
          <w:sz w:val="22"/>
          <w:szCs w:val="22"/>
        </w:rPr>
        <w:t xml:space="preserve">Kong C-H, Wang P &amp; Xu X-H (2007) Allelopathic interference of Ambrosia trifida with wheat (Triticum aestivum).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416–420.</w:t>
      </w:r>
    </w:p>
    <w:p>
      <w:pPr>
        <w:widowControl w:val="on"/>
        <w:pBdr/>
        <w:spacing w:before="220" w:after="220" w:line="240" w:lineRule="auto"/>
        <w:ind w:left="0" w:right="0"/>
        <w:jc w:val="both"/>
      </w:pPr>
      <w:r>
        <w:rPr>
          <w:rFonts w:ascii="Calibri" w:hAnsi="Calibri" w:eastAsia="Calibri" w:cs="Calibri"/>
          <w:color w:val="000000"/>
          <w:sz w:val="22"/>
          <w:szCs w:val="22"/>
        </w:rPr>
        <w:t xml:space="preserve">Krippel Y &amp; Colling G (2006) Notes floristiques. Observations faites au Luxembourg (2004–2005). Bulletin de la socie/te/ des naturalistes luxembourgeois</w:t>
      </w:r>
      <w:r>
        <w:rPr>
          <w:rFonts w:ascii="Calibri" w:hAnsi="Calibri" w:eastAsia="Calibri" w:cs="Calibri"/>
          <w:b/>
          <w:bCs/>
          <w:color w:val="000000"/>
          <w:sz w:val="22"/>
          <w:szCs w:val="22"/>
        </w:rPr>
        <w:t xml:space="preserve"> 107</w:t>
      </w:r>
      <w:r>
        <w:rPr>
          <w:rFonts w:ascii="Calibri" w:hAnsi="Calibri" w:eastAsia="Calibri" w:cs="Calibri"/>
          <w:color w:val="000000"/>
          <w:sz w:val="22"/>
          <w:szCs w:val="22"/>
        </w:rPr>
        <w:t xml:space="preserve">, 89–103.</w:t>
      </w:r>
    </w:p>
    <w:p>
      <w:pPr>
        <w:widowControl w:val="on"/>
        <w:pBdr/>
        <w:spacing w:before="220" w:after="220" w:line="240" w:lineRule="auto"/>
        <w:ind w:left="0" w:right="0"/>
        <w:jc w:val="both"/>
      </w:pPr>
      <w:r>
        <w:rPr>
          <w:rFonts w:ascii="Calibri" w:hAnsi="Calibri" w:eastAsia="Calibri" w:cs="Calibri"/>
          <w:color w:val="000000"/>
          <w:sz w:val="22"/>
          <w:szCs w:val="22"/>
        </w:rPr>
        <w:t xml:space="preserve">Lee CS, Cho YC, Shin HC, Kim GS &amp; Pi JH (2010) Control of an invasive alien species, Ambrosia trifida with restoration by introducing willows as a typical riparian vegetation. </w:t>
      </w:r>
      <w:r>
        <w:rPr>
          <w:rFonts w:ascii="Calibri" w:hAnsi="Calibri" w:eastAsia="Calibri" w:cs="Calibri"/>
          <w:i/>
          <w:iCs/>
          <w:color w:val="000000"/>
          <w:sz w:val="22"/>
          <w:szCs w:val="22"/>
        </w:rPr>
        <w:t xml:space="preserve">Journal of Ecology and Field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157–164.</w:t>
      </w:r>
    </w:p>
    <w:p>
      <w:pPr>
        <w:widowControl w:val="on"/>
        <w:pBdr/>
        <w:spacing w:before="220" w:after="220" w:line="240" w:lineRule="auto"/>
        <w:ind w:left="0" w:right="0"/>
        <w:jc w:val="both"/>
      </w:pPr>
      <w:r>
        <w:rPr>
          <w:rFonts w:ascii="Calibri" w:hAnsi="Calibri" w:eastAsia="Calibri" w:cs="Calibri"/>
          <w:color w:val="000000"/>
          <w:sz w:val="22"/>
          <w:szCs w:val="22"/>
        </w:rPr>
        <w:t xml:space="preserve">Mamarot J &amp; Rodriguez A (2014) Mauvaises herbes des cultures, p. 569. ACTA Editions, Paris (FR).</w:t>
      </w:r>
    </w:p>
    <w:p>
      <w:pPr>
        <w:widowControl w:val="on"/>
        <w:pBdr/>
        <w:spacing w:before="220" w:after="220" w:line="240" w:lineRule="auto"/>
        <w:ind w:left="0" w:right="0"/>
        <w:jc w:val="both"/>
      </w:pPr>
      <w:r>
        <w:rPr>
          <w:rFonts w:ascii="Calibri" w:hAnsi="Calibri" w:eastAsia="Calibri" w:cs="Calibri"/>
          <w:color w:val="000000"/>
          <w:sz w:val="22"/>
          <w:szCs w:val="22"/>
        </w:rPr>
        <w:t xml:space="preserve">Megyeri K (2011) The Impact of Ambrosia trifida (giant ragweed) on Native Prairie Species in an Early Prairie Restoration Project. PhD Thesis. University of New Orleans. p. 48.</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(1996) A population dynamics model for soil seedbank plants and its application to the prediction of the effects of weeding on a population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invading a nature reserve. Japanese Journal of Conservation Ecology 1, 25–47, (in Japanese).</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(2004) Invasive alien plant species in riparian areas of Japan: the contribution of agricultural weeds, revegetation species and aquacultural species. Global Environmental Research – English Edition 8, 89–101.</w:t>
      </w:r>
    </w:p>
    <w:p>
      <w:pPr>
        <w:widowControl w:val="on"/>
        <w:pBdr/>
        <w:spacing w:before="220" w:after="220" w:line="240" w:lineRule="auto"/>
        <w:ind w:left="0" w:right="0"/>
        <w:jc w:val="both"/>
      </w:pPr>
      <w:r>
        <w:rPr>
          <w:rFonts w:ascii="Calibri" w:hAnsi="Calibri" w:eastAsia="Calibri" w:cs="Calibri"/>
          <w:color w:val="000000"/>
          <w:sz w:val="22"/>
          <w:szCs w:val="22"/>
        </w:rPr>
        <w:t xml:space="preserve">Norsworthy JK, Riar D, Jha P &amp; Scott RC (2011) Confirmation, control, and physiology of glyphosate-resistant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 Arkansas.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430–435.</w:t>
      </w:r>
    </w:p>
    <w:p>
      <w:pPr>
        <w:widowControl w:val="on"/>
        <w:pBdr/>
        <w:spacing w:before="220" w:after="220" w:line="240" w:lineRule="auto"/>
        <w:ind w:left="0" w:right="0"/>
        <w:jc w:val="both"/>
      </w:pPr>
      <w:r>
        <w:rPr>
          <w:rFonts w:ascii="Calibri" w:hAnsi="Calibri" w:eastAsia="Calibri" w:cs="Calibri"/>
          <w:color w:val="000000"/>
          <w:sz w:val="22"/>
          <w:szCs w:val="22"/>
        </w:rPr>
        <w:t xml:space="preserve">Oh J-W (2018)   Pollen allergy in a changing world. Springer  Nature Singapore Pte Ltd, Singapore.</w:t>
      </w:r>
    </w:p>
    <w:p>
      <w:pPr>
        <w:widowControl w:val="on"/>
        <w:pBdr/>
        <w:spacing w:before="220" w:after="220" w:line="240" w:lineRule="auto"/>
        <w:ind w:left="0" w:right="0"/>
        <w:jc w:val="both"/>
      </w:pPr>
      <w:r>
        <w:rPr>
          <w:rFonts w:ascii="Calibri" w:hAnsi="Calibri" w:eastAsia="Calibri" w:cs="Calibri"/>
          <w:color w:val="000000"/>
          <w:sz w:val="22"/>
          <w:szCs w:val="22"/>
        </w:rPr>
        <w:t xml:space="preserve">Qin Z, DiTommaso A, Wu RS &amp; Huang HY (2014) Potential distribution of two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in China under projected climate change.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520–531.</w:t>
      </w:r>
    </w:p>
    <w:p>
      <w:pPr>
        <w:widowControl w:val="on"/>
        <w:pBdr/>
        <w:spacing w:before="220" w:after="220" w:line="240" w:lineRule="auto"/>
        <w:ind w:left="0" w:right="0"/>
        <w:jc w:val="both"/>
      </w:pPr>
      <w:r>
        <w:rPr>
          <w:rFonts w:ascii="Calibri" w:hAnsi="Calibri" w:eastAsia="Calibri" w:cs="Calibri"/>
          <w:color w:val="000000"/>
          <w:sz w:val="22"/>
          <w:szCs w:val="22"/>
        </w:rPr>
        <w:t xml:space="preserve">Regnier EE, Harrison SK, Loux MM, Holloman C, Venkatesh R, Diekmann F et al. (2016) Certified crop advisors perceptions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distribution, herbicide resistance, and management in the Corn Belt.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361–377.</w:t>
      </w:r>
    </w:p>
    <w:p>
      <w:pPr>
        <w:widowControl w:val="on"/>
        <w:pBdr/>
        <w:spacing w:before="220" w:after="220" w:line="240" w:lineRule="auto"/>
        <w:ind w:left="0" w:right="0"/>
        <w:jc w:val="both"/>
      </w:pPr>
      <w:r>
        <w:rPr>
          <w:rFonts w:ascii="Calibri" w:hAnsi="Calibri" w:eastAsia="Calibri" w:cs="Calibri"/>
          <w:color w:val="000000"/>
          <w:sz w:val="22"/>
          <w:szCs w:val="22"/>
        </w:rPr>
        <w:t xml:space="preserve">Royer F &amp; Dickinson  R (1999) Weeds of Canada and the Northern United States – A Guide for Identification. p. 434, The University of Alberta Press, Lone Pine Publishing, Edmonton, Canada.</w:t>
      </w:r>
    </w:p>
    <w:p>
      <w:pPr>
        <w:widowControl w:val="on"/>
        <w:pBdr/>
        <w:spacing w:before="220" w:after="220" w:line="240" w:lineRule="auto"/>
        <w:ind w:left="0" w:right="0"/>
        <w:jc w:val="both"/>
      </w:pPr>
      <w:r>
        <w:rPr>
          <w:rFonts w:ascii="Calibri" w:hAnsi="Calibri" w:eastAsia="Calibri" w:cs="Calibri"/>
          <w:color w:val="000000"/>
          <w:sz w:val="22"/>
          <w:szCs w:val="22"/>
        </w:rPr>
        <w:t xml:space="preserve">Rydlo J, Moravcov'a L &amp; Sk'alov'a H (2011)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u Velk'eho Oseka  a Veltrub  [Ambrosia trifida near Velk'y   Osek  and Veltruby (Central Bohemia)]. Muzeum a souasnost, ser. nat.,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132–135.</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(2008) The association between seed size and seed longevity among maternal families in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w:t>
      </w:r>
      <w:r>
        <w:rPr>
          <w:rFonts w:ascii="Calibri" w:hAnsi="Calibri" w:eastAsia="Calibri" w:cs="Calibri"/>
          <w:i/>
          <w:iCs/>
          <w:color w:val="000000"/>
          <w:sz w:val="22"/>
          <w:szCs w:val="22"/>
        </w:rPr>
        <w:t xml:space="preserve">Seed Science Research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201–211.</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SK (2006) Maternal plant as sources of emergence variation within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46, 29.</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(2012) Seed dormancy and adaptive seedling emergence timing 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19–26.</w:t>
      </w:r>
    </w:p>
    <w:p>
      <w:pPr>
        <w:widowControl w:val="on"/>
        <w:pBdr/>
        <w:spacing w:before="220" w:after="220" w:line="240" w:lineRule="auto"/>
        <w:ind w:left="0" w:right="0"/>
        <w:jc w:val="both"/>
      </w:pPr>
      <w:r>
        <w:rPr>
          <w:rFonts w:ascii="Calibri" w:hAnsi="Calibri" w:eastAsia="Calibri" w:cs="Calibri"/>
          <w:color w:val="000000"/>
          <w:sz w:val="22"/>
          <w:szCs w:val="22"/>
        </w:rPr>
        <w:t xml:space="preserve">Shamonin MG, Smetnik AI (eds) (1986). Карантин растений в СССР.Сост. Шамонин МГ, Сметник АИ. Москва (RU), Агропромиздат, 256 с. [Plant quarantine in the USSR]. Agropromizdat, Moskva (RU) 256 pp.</w:t>
      </w:r>
    </w:p>
    <w:p>
      <w:pPr>
        <w:widowControl w:val="on"/>
        <w:pBdr/>
        <w:spacing w:before="220" w:after="220" w:line="240" w:lineRule="auto"/>
        <w:ind w:left="0" w:right="0"/>
        <w:jc w:val="both"/>
      </w:pPr>
      <w:r>
        <w:rPr>
          <w:rFonts w:ascii="Calibri" w:hAnsi="Calibri" w:eastAsia="Calibri" w:cs="Calibri"/>
          <w:color w:val="000000"/>
          <w:sz w:val="22"/>
          <w:szCs w:val="22"/>
        </w:rPr>
        <w:t xml:space="preserve">Sickels FA &amp; Simpson RL (1985) Growth and survival of giant ragweed (Ambrosia trifida L.) in a Delaware River freshwater tidal wetland.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368–375.</w:t>
      </w:r>
    </w:p>
    <w:p>
      <w:pPr>
        <w:widowControl w:val="on"/>
        <w:pBdr/>
        <w:spacing w:before="220" w:after="220" w:line="240" w:lineRule="auto"/>
        <w:ind w:left="0" w:right="0"/>
        <w:jc w:val="both"/>
      </w:pPr>
      <w:r>
        <w:rPr>
          <w:rFonts w:ascii="Calibri" w:hAnsi="Calibri" w:eastAsia="Calibri" w:cs="Calibri"/>
          <w:color w:val="000000"/>
          <w:sz w:val="22"/>
          <w:szCs w:val="22"/>
        </w:rPr>
        <w:t xml:space="preserve">Sprague CL, Wax LM, Hartzler RG &amp; Harrison SK (2004) Variations in emergence patterns of giant ragweed biotypes from Ohio, Illinois, and Iowa.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44, 60.</w:t>
      </w:r>
    </w:p>
    <w:p>
      <w:pPr>
        <w:widowControl w:val="on"/>
        <w:pBdr/>
        <w:spacing w:before="220" w:after="220" w:line="240" w:lineRule="auto"/>
        <w:ind w:left="0" w:right="0"/>
        <w:jc w:val="both"/>
      </w:pPr>
      <w:r>
        <w:rPr>
          <w:rFonts w:ascii="Calibri" w:hAnsi="Calibri" w:eastAsia="Calibri" w:cs="Calibri"/>
          <w:color w:val="000000"/>
          <w:sz w:val="22"/>
          <w:szCs w:val="22"/>
        </w:rPr>
        <w:t xml:space="preserve">Stoller EW &amp; Wax LM (1974) Dormancy changes and fate of some annual weed seeds in the soil.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151–155.</w:t>
      </w:r>
    </w:p>
    <w:p>
      <w:pPr>
        <w:widowControl w:val="on"/>
        <w:pBdr/>
        <w:spacing w:before="220" w:after="220" w:line="240" w:lineRule="auto"/>
        <w:ind w:left="0" w:right="0"/>
        <w:jc w:val="both"/>
      </w:pPr>
      <w:r>
        <w:rPr>
          <w:rFonts w:ascii="Calibri" w:hAnsi="Calibri" w:eastAsia="Calibri" w:cs="Calibri"/>
          <w:color w:val="000000"/>
          <w:sz w:val="22"/>
          <w:szCs w:val="22"/>
        </w:rPr>
        <w:t xml:space="preserve">Stoyanov S, Vladimirov V &amp; Milanova S (2014)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(Asteraceae), a new non-native species for the Bulgarian Flora. </w:t>
      </w:r>
      <w:r>
        <w:rPr>
          <w:rFonts w:ascii="Calibri" w:hAnsi="Calibri" w:eastAsia="Calibri" w:cs="Calibri"/>
          <w:i/>
          <w:iCs/>
          <w:color w:val="000000"/>
          <w:sz w:val="22"/>
          <w:szCs w:val="22"/>
        </w:rPr>
        <w:t xml:space="preserve">Comptes rendus de l’Acade/mie bulgare des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1653-1656.</w:t>
      </w:r>
    </w:p>
    <w:p>
      <w:pPr>
        <w:widowControl w:val="on"/>
        <w:pBdr/>
        <w:spacing w:before="220" w:after="220" w:line="240" w:lineRule="auto"/>
        <w:ind w:left="0" w:right="0"/>
        <w:jc w:val="both"/>
      </w:pPr>
      <w:r>
        <w:rPr>
          <w:rFonts w:ascii="Calibri" w:hAnsi="Calibri" w:eastAsia="Calibri" w:cs="Calibri"/>
          <w:color w:val="000000"/>
          <w:sz w:val="22"/>
          <w:szCs w:val="22"/>
        </w:rPr>
        <w:t xml:space="preserve">Toole EH &amp; Brown E (1946) Final results of the Duvel buried seed experiment.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201–210.</w:t>
      </w:r>
    </w:p>
    <w:p>
      <w:pPr>
        <w:widowControl w:val="on"/>
        <w:pBdr/>
        <w:spacing w:before="220" w:after="220" w:line="240" w:lineRule="auto"/>
        <w:ind w:left="0" w:right="0"/>
        <w:jc w:val="both"/>
      </w:pPr>
      <w:r>
        <w:rPr>
          <w:rFonts w:ascii="Calibri" w:hAnsi="Calibri" w:eastAsia="Calibri" w:cs="Calibri"/>
          <w:color w:val="000000"/>
          <w:sz w:val="22"/>
          <w:szCs w:val="22"/>
        </w:rPr>
        <w:t xml:space="preserve">USDA (2018) United States Department of Agriculture Federal Seed Act. </w:t>
      </w:r>
      <w:hyperlink r:id="rId9510669e92463cdaf" w:history="1">
        <w:r>
          <w:rPr>
            <w:rFonts w:ascii="Calibri" w:hAnsi="Calibri" w:eastAsia="Calibri" w:cs="Calibri"/>
            <w:color w:val="0000CC"/>
            <w:sz w:val="22"/>
            <w:szCs w:val="22"/>
            <w:u w:val="single"/>
          </w:rPr>
          <w:t xml:space="preserve">https://www.ams.usda.gov/rules-regulations/fsa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USDA and NRCS (2020) The PLANTS Database. National Plant Data Team, Greensboro (US). </w:t>
      </w:r>
      <w:hyperlink r:id="rId2843669e92463cdf2" w:history="1">
        <w:r>
          <w:rPr>
            <w:rFonts w:ascii="Calibri" w:hAnsi="Calibri" w:eastAsia="Calibri" w:cs="Calibri"/>
            <w:color w:val="0000CC"/>
            <w:sz w:val="22"/>
            <w:szCs w:val="22"/>
            <w:u w:val="single"/>
          </w:rPr>
          <w:t xml:space="preserve">http://plants.usda.gov </w:t>
        </w:r>
      </w:hyperlink>
      <w:r>
        <w:rPr>
          <w:rFonts w:ascii="Calibri" w:hAnsi="Calibri" w:eastAsia="Calibri" w:cs="Calibri"/>
          <w:color w:val="000000"/>
          <w:sz w:val="22"/>
          <w:szCs w:val="22"/>
        </w:rPr>
        <w:t xml:space="preserve">[accessed on 12 March 2020].</w:t>
      </w:r>
    </w:p>
    <w:p>
      <w:pPr>
        <w:widowControl w:val="on"/>
        <w:pBdr/>
        <w:spacing w:before="220" w:after="220" w:line="240" w:lineRule="auto"/>
        <w:ind w:left="0" w:right="0"/>
        <w:jc w:val="both"/>
      </w:pPr>
      <w:r>
        <w:rPr>
          <w:rFonts w:ascii="Calibri" w:hAnsi="Calibri" w:eastAsia="Calibri" w:cs="Calibri"/>
          <w:color w:val="000000"/>
          <w:sz w:val="22"/>
          <w:szCs w:val="22"/>
        </w:rPr>
        <w:t xml:space="preserve">Wan F, Liu Q &amp; Xie M (2012) Biological invasions: color illustrations of invasive alien plants in China. Science Press, Beijing (in Chinese). Washitani I (2001) Plant conservation ecology for management and restoration of riparian habitats of lowland Japan.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189–195.</w:t>
      </w:r>
    </w:p>
    <w:p>
      <w:pPr>
        <w:widowControl w:val="on"/>
        <w:pBdr/>
        <w:spacing w:before="220" w:after="220" w:line="240" w:lineRule="auto"/>
        <w:ind w:left="0" w:right="0"/>
        <w:jc w:val="both"/>
      </w:pPr>
      <w:r>
        <w:rPr>
          <w:rFonts w:ascii="Calibri" w:hAnsi="Calibri" w:eastAsia="Calibri" w:cs="Calibri"/>
          <w:color w:val="000000"/>
          <w:sz w:val="22"/>
          <w:szCs w:val="22"/>
        </w:rPr>
        <w:t xml:space="preserve">Webster TM, Loux MM, Regnier EE &amp; Harrison SK (1994) Giant ragweed (Ambrosia trifida) canopy architecture and interference studies in soybean (Glycine max).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559–564.</w:t>
      </w:r>
    </w:p>
    <w:p>
      <w:pPr>
        <w:widowControl w:val="on"/>
        <w:pBdr/>
        <w:spacing w:before="220" w:after="220" w:line="240" w:lineRule="auto"/>
        <w:ind w:left="0" w:right="0"/>
        <w:jc w:val="both"/>
      </w:pPr>
      <w:r>
        <w:rPr>
          <w:rFonts w:ascii="Calibri" w:hAnsi="Calibri" w:eastAsia="Calibri" w:cs="Calibri"/>
          <w:color w:val="000000"/>
          <w:sz w:val="22"/>
          <w:szCs w:val="22"/>
        </w:rPr>
        <w:t xml:space="preserve">Xu H, Qiang S, Genovesi P, Ding H, Wu J, Meng L et al. (2012) An inventory of invasive alien species in China.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 in February 2019. The composition of the expert working group was D. Chapman (Stirling University, GB), B. Chauvel (French National Institute for Agricultural Research, FR), S. Follak (AGES, AT), G. Fried (ANSES, FR), Y. Kulakova (All-Russian Plant Protection Center, RU), D. Marisavl Jevic (Institute for Plant Protection and Environment, RS), E. Regnier (Ohio State University, US), U. Starfinger (Julius  K€uhn  Institut,  DE), V.  van   Valkenburg (National Plant Protection Organisation,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EPPO datasheets on pests recommended for regulation. Available online. </w:t>
      </w:r>
      <w:hyperlink r:id="rId8550669e92463cfd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410765">
    <w:multiLevelType w:val="hybridMultilevel"/>
    <w:lvl w:ilvl="0" w:tplc="12845523">
      <w:start w:val="1"/>
      <w:numFmt w:val="decimal"/>
      <w:lvlText w:val="%1."/>
      <w:lvlJc w:val="left"/>
      <w:pPr>
        <w:ind w:left="720" w:hanging="360"/>
      </w:pPr>
    </w:lvl>
    <w:lvl w:ilvl="1" w:tplc="12845523" w:tentative="1">
      <w:start w:val="1"/>
      <w:numFmt w:val="lowerLetter"/>
      <w:lvlText w:val="%2."/>
      <w:lvlJc w:val="left"/>
      <w:pPr>
        <w:ind w:left="1440" w:hanging="360"/>
      </w:pPr>
    </w:lvl>
    <w:lvl w:ilvl="2" w:tplc="12845523" w:tentative="1">
      <w:start w:val="1"/>
      <w:numFmt w:val="lowerRoman"/>
      <w:lvlText w:val="%3."/>
      <w:lvlJc w:val="right"/>
      <w:pPr>
        <w:ind w:left="2160" w:hanging="180"/>
      </w:pPr>
    </w:lvl>
    <w:lvl w:ilvl="3" w:tplc="12845523" w:tentative="1">
      <w:start w:val="1"/>
      <w:numFmt w:val="decimal"/>
      <w:lvlText w:val="%4."/>
      <w:lvlJc w:val="left"/>
      <w:pPr>
        <w:ind w:left="2880" w:hanging="360"/>
      </w:pPr>
    </w:lvl>
    <w:lvl w:ilvl="4" w:tplc="12845523" w:tentative="1">
      <w:start w:val="1"/>
      <w:numFmt w:val="lowerLetter"/>
      <w:lvlText w:val="%5."/>
      <w:lvlJc w:val="left"/>
      <w:pPr>
        <w:ind w:left="3600" w:hanging="360"/>
      </w:pPr>
    </w:lvl>
    <w:lvl w:ilvl="5" w:tplc="12845523" w:tentative="1">
      <w:start w:val="1"/>
      <w:numFmt w:val="lowerRoman"/>
      <w:lvlText w:val="%6."/>
      <w:lvlJc w:val="right"/>
      <w:pPr>
        <w:ind w:left="4320" w:hanging="180"/>
      </w:pPr>
    </w:lvl>
    <w:lvl w:ilvl="6" w:tplc="12845523" w:tentative="1">
      <w:start w:val="1"/>
      <w:numFmt w:val="decimal"/>
      <w:lvlText w:val="%7."/>
      <w:lvlJc w:val="left"/>
      <w:pPr>
        <w:ind w:left="5040" w:hanging="360"/>
      </w:pPr>
    </w:lvl>
    <w:lvl w:ilvl="7" w:tplc="12845523" w:tentative="1">
      <w:start w:val="1"/>
      <w:numFmt w:val="lowerLetter"/>
      <w:lvlText w:val="%8."/>
      <w:lvlJc w:val="left"/>
      <w:pPr>
        <w:ind w:left="5760" w:hanging="360"/>
      </w:pPr>
    </w:lvl>
    <w:lvl w:ilvl="8" w:tplc="12845523" w:tentative="1">
      <w:start w:val="1"/>
      <w:numFmt w:val="lowerRoman"/>
      <w:lvlText w:val="%9."/>
      <w:lvlJc w:val="right"/>
      <w:pPr>
        <w:ind w:left="6480" w:hanging="180"/>
      </w:pPr>
    </w:lvl>
  </w:abstractNum>
  <w:abstractNum w:abstractNumId="52410764">
    <w:multiLevelType w:val="hybridMultilevel"/>
    <w:lvl w:ilvl="0" w:tplc="411635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410764">
    <w:abstractNumId w:val="52410764"/>
  </w:num>
  <w:num w:numId="52410765">
    <w:abstractNumId w:val="524107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6877832" Type="http://schemas.microsoft.com/office/2011/relationships/commentsExtended" Target="commentsExtended.xml"/><Relationship Id="rId101627008" Type="http://schemas.microsoft.com/office/2011/relationships/people" Target="people.xml"/><Relationship Id="rId2159669e924638dda" Type="http://schemas.openxmlformats.org/officeDocument/2006/relationships/hyperlink" Target="https://gd.eppo.int/taxon/AMBTR/" TargetMode="External"/><Relationship Id="rId7611669e924638e1f" Type="http://schemas.openxmlformats.org/officeDocument/2006/relationships/hyperlink" Target="https://gd.eppo.int/taxon/AMBTR/categorization" TargetMode="External"/><Relationship Id="rId1564669e924639739" Type="http://schemas.openxmlformats.org/officeDocument/2006/relationships/hyperlink" Target="https://gd.eppo.int/taxon/AMBTR/photos" TargetMode="External"/><Relationship Id="rId2946669e92463b73d" Type="http://schemas.openxmlformats.org/officeDocument/2006/relationships/hyperlink" Target="https://www.floraitaliae.actaplantarum.org/" TargetMode="External"/><Relationship Id="rId4275669e92463b761" Type="http://schemas.openxmlformats.org/officeDocument/2006/relationships/hyperlink" Target="https://www.floraitaliae.actaplantarum.org/" TargetMode="External"/><Relationship Id="rId2185669e92463b92e" Type="http://schemas.openxmlformats.org/officeDocument/2006/relationships/hyperlink" Target="https://www.aafa.org/ragweed-pollen/" TargetMode="External"/><Relationship Id="rId4031669e92463bb15" Type="http://schemas.openxmlformats.org/officeDocument/2006/relationships/hyperlink" Target="https://plants.usda.gov/java/noxComposite?stateRpt=yes" TargetMode="External"/><Relationship Id="rId9207669e92463bb49" Type="http://schemas.openxmlformats.org/officeDocument/2006/relationships/hyperlink" Target="https://plants.usda.gov/java/noxComposite?stateRpt=yes" TargetMode="External"/><Relationship Id="rId9292669e92463bb69" Type="http://schemas.openxmlformats.org/officeDocument/2006/relationships/hyperlink" Target="https://www.mda.state.mn.us/plants/pestmanagement/weedcontrol/noxiouslist/countynoxiousweeds" TargetMode="External"/><Relationship Id="rId6926669e92463bb92" Type="http://schemas.openxmlformats.org/officeDocument/2006/relationships/hyperlink" Target="https://www.mda.state.mn.us/plants/pestmanagement/weedcontrol/noxiouslist/countynoxiousweeds" TargetMode="External"/><Relationship Id="rId6780669e92463bbe8" Type="http://schemas.openxmlformats.org/officeDocument/2006/relationships/hyperlink" Target="http://www.gazette.gc.ca/rp-pr/p2/2016/2016-05-18/html/sor-dors93-eng.html" TargetMode="External"/><Relationship Id="rId8052669e92463bbfc" Type="http://schemas.openxmlformats.org/officeDocument/2006/relationships/hyperlink" Target="http://www.gazette.gc.ca/rp-pr/p2/2016/2016-05-18/html/sor-dors93-eng.html" TargetMode="External"/><Relationship Id="rId2301669e92463bc1c" Type="http://schemas.openxmlformats.org/officeDocument/2006/relationships/hyperlink" Target="http://www.omafra.gov.on.ca/english/crops/facts/info_ragweed.htm" TargetMode="External"/><Relationship Id="rId3175669e92463bc3b" Type="http://schemas.openxmlformats.org/officeDocument/2006/relationships/hyperlink" Target="http://www.omafra.gov.on.ca/english/crops/facts/info_ragweed.htm" TargetMode="External"/><Relationship Id="rId2278669e92463bed9" Type="http://schemas.openxmlformats.org/officeDocument/2006/relationships/hyperlink" Target="http://repositorio.iica.int/bitstream/11324/7251/2/BVE19019515i.pdf" TargetMode="External"/><Relationship Id="rId1277669e92463bef8" Type="http://schemas.openxmlformats.org/officeDocument/2006/relationships/hyperlink" Target="http://repositorio.iica.int/bitstream/11324/7251/2/BVE19019515i.pdf" TargetMode="External"/><Relationship Id="rId1797669e92463bfb4" Type="http://schemas.openxmlformats.org/officeDocument/2006/relationships/hyperlink" Target="https://ec.europa.eu/eurostat" TargetMode="External"/><Relationship Id="rId7983669e92463c3fc" Type="http://schemas.openxmlformats.org/officeDocument/2006/relationships/hyperlink" Target="http://www.weedscience.org/In.asp" TargetMode="External"/><Relationship Id="rId9510669e92463cdaf" Type="http://schemas.openxmlformats.org/officeDocument/2006/relationships/hyperlink" Target="https://www.ams.usda.gov/rules-regulations/fsa" TargetMode="External"/><Relationship Id="rId2843669e92463cdf2" Type="http://schemas.openxmlformats.org/officeDocument/2006/relationships/hyperlink" Target="http://plants.usda.gov/" TargetMode="External"/><Relationship Id="rId8550669e92463cfdf" Type="http://schemas.openxmlformats.org/officeDocument/2006/relationships/hyperlink" Target="https://gd.eppo.int" TargetMode="External"/><Relationship Id="rId7343669e9246395e1" Type="http://schemas.openxmlformats.org/officeDocument/2006/relationships/image" Target="media/imgrId7343669e9246395e1.jpg"/><Relationship Id="rId3190669e92463a5a2" Type="http://schemas.openxmlformats.org/officeDocument/2006/relationships/image" Target="media/imgrId3190669e92463a5a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