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Andropogon virginicus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virginicus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dissitiflorus</w:t>
            </w:r>
            <w:r>
              <w:rPr>
                <w:rFonts w:ascii="Calibri" w:hAnsi="Calibri" w:eastAsia="Calibri" w:cs="Calibri"/>
                <w:color w:val="000000"/>
                <w:position w:val="-3"/>
                <w:sz w:val="22"/>
                <w:szCs w:val="22"/>
              </w:rPr>
              <w:t xml:space="preserve"> Michaux, </w:t>
            </w:r>
            <w:r>
              <w:rPr>
                <w:rFonts w:ascii="Calibri" w:hAnsi="Calibri" w:eastAsia="Calibri" w:cs="Calibri"/>
                <w:i/>
                <w:iCs/>
                <w:color w:val="000000"/>
                <w:position w:val="-3"/>
                <w:sz w:val="22"/>
                <w:szCs w:val="22"/>
              </w:rPr>
              <w:t xml:space="preserve">Holcus virginicus</w:t>
            </w:r>
            <w:r>
              <w:rPr>
                <w:rFonts w:ascii="Calibri" w:hAnsi="Calibri" w:eastAsia="Calibri" w:cs="Calibri"/>
                <w:color w:val="000000"/>
                <w:position w:val="-3"/>
                <w:sz w:val="22"/>
                <w:szCs w:val="22"/>
              </w:rPr>
              <w:t xml:space="preserve"> (Linnaeus) Steudel, </w:t>
            </w:r>
            <w:r>
              <w:rPr>
                <w:rFonts w:ascii="Calibri" w:hAnsi="Calibri" w:eastAsia="Calibri" w:cs="Calibri"/>
                <w:i/>
                <w:iCs/>
                <w:color w:val="000000"/>
                <w:position w:val="-3"/>
                <w:sz w:val="22"/>
                <w:szCs w:val="22"/>
              </w:rPr>
              <w:t xml:space="preserve">Sorghum virginicum</w:t>
            </w:r>
            <w:r>
              <w:rPr>
                <w:rFonts w:ascii="Calibri" w:hAnsi="Calibri" w:eastAsia="Calibri" w:cs="Calibri"/>
                <w:color w:val="000000"/>
                <w:position w:val="-3"/>
                <w:sz w:val="22"/>
                <w:szCs w:val="22"/>
              </w:rPr>
              <w:t xml:space="preserve"> (Linnaeus)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beardgrass, broomsedge, broomsedge bluestem (US), broomstraw, deceptive bluestem, old-field broomstraw, sage grass, sedge grass, smooth bluestem, whisky grass, yellow bluestem, yellowsedge bluestem</w:t>
            </w:r>
            <w:hyperlink r:id="rId6614676da1ed4321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537676da1ed4327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ANOVI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(Poaceae) is native to North and Central America. In the USA,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mainly has an eastern and central native range. The species is also present in California where it is regarded as non-native. It is reported as invasive in Hawaii, where it was first reported in 1924. This species has been introduced and naturalized in Australia, New Zealand, Japan and South Korea. Prior to 2006, the only report from the EPPO region was in Georgia and the Russian Federation. In 2006,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France in a military camp.</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around 1940 at Aichi Prefecture in the region of Chūbu, Honshu (NIES, 2017), where it is reported to be an aggressive invader (Enomoto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recorded from South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authors describe the habitat as ‘vacant lots near the inhabited areas, forest side’.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in 1947 in Georgia in the Autonomous Republic of Abkhazia near Lake Bebsyr [Ochamchira (Oчaмчыpa) region]. In this area,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widespread in the natural environment, as well as in ruderal and disturbed land across the low-lying (up to 250 m) maritime part of the country (Кoлaкoвcкий, 1986), and is expanding its range in the Caucasus region. The most northerly point of its spread is the region of Tuapse town (Tyaпce), where in 1996 the population of this species was dominant in the area of a former vineyard on the marine terrace of the bank of the estuary (Зepнoв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introduced and is established in Australia and in New Zealand (Gardner et al., 1996). In Australia, the first report of the species was in 1942 in New South Wales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is also recorded from Queensland and Victoria (AVH, 2017). In New Zealand, the species is recorded as having a scattered distribution in the North Island near Albany Hill (despite 7 years of eradication measures) and Warkworth.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in the EPPO region in France, Georgia and the Russian Federation. In France,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2006 in the military camp ‘Camp du Poteau’ (Granereau &amp; Verloove, 2010). It is suspected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 It has also been recorded in Arjuzanx (Landes) in 2008, where its population has been observed to have increased (Royaud, 2010). In the Russian Federation,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on the Black Sea coast of the Caucasus (Mironova,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66979482" name="name3928676da1ed44cb9" descr="ANO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VI_distribution_map.jpg"/>
                    <pic:cNvPicPr/>
                  </pic:nvPicPr>
                  <pic:blipFill>
                    <a:blip r:embed="rId1791676da1ed44cb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Georgia, Russia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District of Columbia, Florida, Georgia, Hawaii, Illinois, Indiana, Iowa, Kansas, Kentucky, Louisiana, Maryland, Massachusetts, Michigan, Mississippi, Missouri, New Jersey, New York, North Carolina, Ohio, Oklahoma, Pennsylvania, Rhode Island,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Bermuda, Costa Rica, Cuba, Dominican Republic, Guatemala, Honduras, Jamaica,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 herbaceous, perennial, warm season (C4) grass (Fig. 1). It has a cespitose (i.e. densely tufted) growth form and a height range of 40–210 cm (Campbell, 2003). Under the Raunkiaer life-form system it is a hemicryptophyte (Uchytil, 1992). The culms are typically branched distally, with light-green to reddish brown coloration (Weber, 2003). The leaf sheaths are long-ciliate, with a tuberculate (scabrous) surface. The ligules are yellow to brownish and membranous, 0.2–1 mm, with cilia 0.2–1.3 mm (Campbell, 2003; Weber, 2003). Leaf blades reach up to 52 cm and are 1.7–6.5 mm wide. These blades are variably hairy, with Campbell (2003) reporting them ‘smooth and glabrous or sparsely to densely pubescent with spreading hairs’. Weber (2003) reports that the inflorescences are racemes of length 2–4 cm containing spikelets of length 3–4 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sexual, although inbreeding is not unusual due to cleistogamous florets (i.e. flowers that do not open to allow cross-pollination). Chasmogamy (i.e. flowers that open to allow cross-pollination) is reported to vary from around 40% to 100% across described varieties and forms within the species; Campbell (1982, 1983) gives a figure of around 50% chasmogamy for the reportedly weedier subtaxa within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a trait which he links to their success as weeds. Note that some sources (e.g. CABI, 2016) do not make this distinction between subtaxa, thus giving the unwarranted impression that the species is always predominantly chasmogamous. Chasmogamous florets are wind-pollinated, as is true for most grasses.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invades a wide variety of habitats from disturbed to relatively intact habitats including ruderal areas, wetlands, open pastures, grasslands and open woodlands. Campbell (2003) describes the habitats of the three named varieties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decipiens</w:t>
      </w:r>
      <w:r>
        <w:rPr>
          <w:rFonts w:ascii="Calibri" w:hAnsi="Calibri" w:eastAsia="Calibri" w:cs="Calibri"/>
          <w:color w:val="000000"/>
          <w:sz w:val="22"/>
          <w:szCs w:val="22"/>
        </w:rPr>
        <w:t xml:space="preserve">, these include flatwoods (open pine forest or savannah), scrublands and disturbed sites such as roadsides and cleared timberlands, of the south-eastern coastal plain of the USA.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glaucus</w:t>
      </w:r>
      <w:r>
        <w:rPr>
          <w:rFonts w:ascii="Calibri" w:hAnsi="Calibri" w:eastAsia="Calibri" w:cs="Calibri"/>
          <w:color w:val="000000"/>
          <w:sz w:val="22"/>
          <w:szCs w:val="22"/>
        </w:rPr>
        <w:t xml:space="preserve">, habitats include moist or dry soils of the coastal plain, from Southern New Jersey to Eastern Texas.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virginicus</w:t>
      </w:r>
      <w:r>
        <w:rPr>
          <w:rFonts w:ascii="Calibri" w:hAnsi="Calibri" w:eastAsia="Calibri" w:cs="Calibri"/>
          <w:color w:val="000000"/>
          <w:sz w:val="22"/>
          <w:szCs w:val="22"/>
        </w:rPr>
        <w:t xml:space="preserve">, the listed habitats include openings in mature vegetation created by disturbance and poorly drained soils of pond margins, swales and cutover flatwoods. Weber (2003) highlights that the species is an indicator of acid soil and lists prairies as the main habitat. The species also tolerates extremely nutrient-poor soils in Australia, burnt areas and grassland and has a low requirement for phosphorus  (Weber, 2003). Although it is also found on more fertile soils, its abundance decreases as competition increases; indeed, the species has often been used as an exemplar of a mid-successional species (Bazzaz, 1968, 1975, 1990).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an important part of the species’ ecology, both within its native (Irving, 1983; Uchytil, 1992) and invaded ranges (e.g. Hughes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where the species depends on frequent disturbance to maintain its population (Lemon, 1949; Lewis &amp; Harshbarger, 1976; White David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Uchytil, 1992).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state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one of the several non-native grasses in Hawaii that are excellent fire promoters, given their high dead: live biomass ratio, ability to burn at high relative humidity and high fuel moisture. Overall, then, it is worth noting that this species is fire-promoting, with the potential for positive feedbacks, but that controlled burning at a particular time of year and frequency may also reduce the species’ abundance (e.g.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generally considered to be of low economic value.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sold by nurseries promoting native species gardening in the USA. A named cultivar (‘Silver Beauty’) exists for horticulture (USDA, 2009). There is evidence that the species is sold within the EPPO region, in particular in the European Union (EU); however, again, it is considered to be of low economic value to the horticulture industry. It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Nutritional quality can be increased by prescribed burning, presumably due to the higher nutritional value of young shoots (Uchytil, 1992). There is no evidence that the species is used as a forage species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entered the EPPO region as a contaminant of machinery and equipment (Granereau &amp; Verloove, 2010). In France, it is suspected that</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available for commercial purposes (through the horticultural trade) in the USA and within the EPPO region (EPPO, 2018). However, there is no evidence that the species is commonly imported as seed into the EPPO region for horticultural purposes. In the pest risk analysis (PRA) conducted for the species (EPPO, 2018), the pathway contaminant of hay imports was considered. Although there is no published evidence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being transported as part of hay material from the USA, there is evidence that hay is imported into the EU and seed material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can potentially be included. Grass species have been intercepted via this pathway into other regions with seeds remaining viable (e.g. into Alaska from other US States;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Australia, seeds of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are also reported to be spread through the movement of hay and livestock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stands can be dense, widespread and highly competitive, suggesting that the species reduces biodiversity (Uchytil, 1992; CABI, 2017). The species is reported to be able to dominate within the grass layer (Sorenson, 1991) (Fig. 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documented in Hawaii as having a negative impact on biodiversity by outcompeting native species through the promotion of fire and transformation of vegetation from native woodlands to fireadapted non-native grassland. In dry habitats, it competes with the endangered shrub </w:t>
      </w:r>
      <w:r>
        <w:rPr>
          <w:rFonts w:ascii="Calibri" w:hAnsi="Calibri" w:eastAsia="Calibri" w:cs="Calibri"/>
          <w:i/>
          <w:iCs/>
          <w:color w:val="000000"/>
          <w:sz w:val="22"/>
          <w:szCs w:val="22"/>
        </w:rPr>
        <w:t xml:space="preserve">Tetramolopium remy</w:t>
      </w:r>
      <w:r>
        <w:rPr>
          <w:rFonts w:ascii="Calibri" w:hAnsi="Calibri" w:eastAsia="Calibri" w:cs="Calibri"/>
          <w:color w:val="000000"/>
          <w:sz w:val="22"/>
          <w:szCs w:val="22"/>
        </w:rPr>
        <w:t xml:space="preserve">i and the endangered tree </w:t>
      </w:r>
      <w:r>
        <w:rPr>
          <w:rFonts w:ascii="Calibri" w:hAnsi="Calibri" w:eastAsia="Calibri" w:cs="Calibri"/>
          <w:i/>
          <w:iCs/>
          <w:color w:val="000000"/>
          <w:sz w:val="22"/>
          <w:szCs w:val="22"/>
        </w:rPr>
        <w:t xml:space="preserve">Santalum freycinetianum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lanaiense</w:t>
      </w:r>
      <w:r>
        <w:rPr>
          <w:rFonts w:ascii="Calibri" w:hAnsi="Calibri" w:eastAsia="Calibri" w:cs="Calibri"/>
          <w:color w:val="000000"/>
          <w:sz w:val="22"/>
          <w:szCs w:val="22"/>
        </w:rPr>
        <w:t xml:space="preserve"> (USFWS, 1995). On Oahu, it threatens the endangered subshrub </w:t>
      </w:r>
      <w:r>
        <w:rPr>
          <w:rFonts w:ascii="Calibri" w:hAnsi="Calibri" w:eastAsia="Calibri" w:cs="Calibri"/>
          <w:i/>
          <w:iCs/>
          <w:color w:val="000000"/>
          <w:sz w:val="22"/>
          <w:szCs w:val="22"/>
        </w:rPr>
        <w:t xml:space="preserve">Schiedea </w:t>
      </w:r>
      <w:r>
        <w:rPr>
          <w:rFonts w:ascii="Calibri" w:hAnsi="Calibri" w:eastAsia="Calibri" w:cs="Calibri"/>
          <w:i/>
          <w:iCs/>
          <w:color w:val="000000"/>
          <w:sz w:val="22"/>
          <w:szCs w:val="22"/>
        </w:rPr>
        <w:t xml:space="preserve">nuttallii </w:t>
      </w:r>
      <w:r>
        <w:rPr>
          <w:rFonts w:ascii="Calibri" w:hAnsi="Calibri" w:eastAsia="Calibri" w:cs="Calibri"/>
          <w:color w:val="000000"/>
          <w:sz w:val="22"/>
          <w:szCs w:val="22"/>
        </w:rPr>
        <w:t xml:space="preserve">(US Fish and Wildlife Service, 2009). It is a major threat to the small herb </w:t>
      </w:r>
      <w:r>
        <w:rPr>
          <w:rFonts w:ascii="Calibri" w:hAnsi="Calibri" w:eastAsia="Calibri" w:cs="Calibri"/>
          <w:i/>
          <w:iCs/>
          <w:color w:val="000000"/>
          <w:sz w:val="22"/>
          <w:szCs w:val="22"/>
        </w:rPr>
        <w:t xml:space="preserve">Portulaca </w:t>
      </w:r>
      <w:r>
        <w:rPr>
          <w:rFonts w:ascii="Calibri" w:hAnsi="Calibri" w:eastAsia="Calibri" w:cs="Calibri"/>
          <w:i/>
          <w:iCs/>
          <w:color w:val="000000"/>
          <w:sz w:val="22"/>
          <w:szCs w:val="22"/>
        </w:rPr>
        <w:t xml:space="preserve">sclerocarpa </w:t>
      </w:r>
      <w:r>
        <w:rPr>
          <w:rFonts w:ascii="Calibri" w:hAnsi="Calibri" w:eastAsia="Calibri" w:cs="Calibri"/>
          <w:color w:val="000000"/>
          <w:sz w:val="22"/>
          <w:szCs w:val="22"/>
        </w:rPr>
        <w:t xml:space="preserve">on the island of Hawaii and an islet off of Lanai.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also sympatric with </w:t>
      </w:r>
      <w:r>
        <w:rPr>
          <w:rFonts w:ascii="Calibri" w:hAnsi="Calibri" w:eastAsia="Calibri" w:cs="Calibri"/>
          <w:i/>
          <w:iCs/>
          <w:color w:val="000000"/>
          <w:sz w:val="22"/>
          <w:szCs w:val="22"/>
        </w:rPr>
        <w:t xml:space="preserve">Pritchardia napaliensis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Schiedea apokremnos</w:t>
      </w:r>
      <w:r>
        <w:rPr>
          <w:rFonts w:ascii="Calibri" w:hAnsi="Calibri" w:eastAsia="Calibri" w:cs="Calibri"/>
          <w:color w:val="000000"/>
          <w:sz w:val="22"/>
          <w:szCs w:val="22"/>
        </w:rPr>
        <w:t xml:space="preserve"> in Hawaii and is a potential threat to those species. In conjunction with other non-native grasses in Hawaii, the species has altered fire regimes in seasonal submontane woodland, reducing the abundance of native species (D’Antonio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degrades habitat occupied by the Charmhaven apple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ngophora inopina</w:t>
      </w:r>
      <w:r>
        <w:rPr>
          <w:rFonts w:ascii="Calibri" w:hAnsi="Calibri" w:eastAsia="Calibri" w:cs="Calibri"/>
          <w:color w:val="000000"/>
          <w:sz w:val="22"/>
          <w:szCs w:val="22"/>
        </w:rPr>
        <w:t xml:space="preserve">, Myrtaceae) and may be having a direct impact on the regeneration of the species (Queensland Government, 2016). It is also recorded as a weed threat to the downy wattle (</w:t>
      </w:r>
      <w:r>
        <w:rPr>
          <w:rFonts w:ascii="Calibri" w:hAnsi="Calibri" w:eastAsia="Calibri" w:cs="Calibri"/>
          <w:i/>
          <w:iCs/>
          <w:color w:val="000000"/>
          <w:sz w:val="22"/>
          <w:szCs w:val="22"/>
        </w:rPr>
        <w:t xml:space="preserve">Acacia pubescens, </w:t>
      </w:r>
      <w:r>
        <w:rPr>
          <w:rFonts w:ascii="Calibri" w:hAnsi="Calibri" w:eastAsia="Calibri" w:cs="Calibri"/>
          <w:color w:val="000000"/>
          <w:sz w:val="22"/>
          <w:szCs w:val="22"/>
        </w:rPr>
        <w:t xml:space="preserve">Fabaceae) (Queensland Government, 2016).</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present in the EPPO region, there are no reported studies that have evaluated the ecological or economic impact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the region. Due to the aggressive spread of the species in natural areas in Georgia and around the Black Sea, and due to the rapid expansion of the area covered by the plant in France, the Expert Working Group (EWG) that assessed the risk of the species to the EPPO region considered that the potential impacts in the EPPO region will be in part similar to those seen in the current area of distribution. This is further compounded by the fact that when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invades an area it forms dense monospecific stands, and this has been observed in the EPPO region (Granereau &amp; Verloove,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competitive nature, the species may have negative economic impacts on forage and timber production in the South-Eastern USA.</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production and habitat stability are likely to be altered by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invasion due to a reduction in infiltration rates. Along with other non-native grasses, the species has an impact on nitrogen cycling by reducing the abundance of native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found to affect plantation forestry by decreasing the soil water content (Balandier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forestry, control or suppression of this species may be necessary to enable the establishment of the plantation species (Groninger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Uchytil (1992) states that ‘nearly pure stands can persist on soils low in nitrogen or phosphorus as a result of competition and allelopathy’. Parsons &amp; Cuthbertson (2001) also note impacts on pasture productivity in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this plant thrives on low-pH and low-fertility soils, soil testing is the first step in managing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infested fields. Fertilization with nitrogen and phosphate and potassium supplementation can achieve control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pastures (Peters &amp; Lowance, 1974). Both mowing and burning may be ineffective at managing the species in isolation. Regular close cutting in February, March and April (USA) will help reduce abundance of the plant. Physical removal of the plant is possible in discrete areas, but this is both costly and time-consuming.</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have been shown to be effective at controlling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under certain circumstances. However,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found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seedlings were highly likely to germinate in the following season after herbicide application and suggest that soil fertility and grazing management are necessary to control the density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Indeed,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reporting on the same experimental system, found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could be effectively managed with proper fertility and tillage regimes.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added to the EPPO Observation List of invasive alien plants in 2014 following a prioritization assessment (EPPO, 2014). In 2016,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carried a high phytosanitary risk to the endangered area (EPPO, 2018), and the species was added to the EPPO A2 List of pests recommended for regulation in 2018. In 2019,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 some areas in Australia the aim is to reduce population sizes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(e.g. in Brisbane, where it is a low priority environmental weed; </w:t>
      </w:r>
      <w:hyperlink r:id="rId8128676da1ed46180" w:history="1">
        <w:r>
          <w:rPr>
            <w:rFonts w:ascii="Calibri" w:hAnsi="Calibri" w:eastAsia="Calibri" w:cs="Calibri"/>
            <w:color w:val="0000CC"/>
            <w:sz w:val="22"/>
            <w:szCs w:val="22"/>
            <w:u w:val="single"/>
          </w:rPr>
          <w:t xml:space="preserve">weeds.brisbane.qld.gov.au/weeds/whisky-grass</w:t>
        </w:r>
      </w:hyperlink>
      <w:r>
        <w:rPr>
          <w:rFonts w:ascii="Calibri" w:hAnsi="Calibri" w:eastAsia="Calibri" w:cs="Calibri"/>
          <w:color w:val="000000"/>
          <w:sz w:val="22"/>
          <w:szCs w:val="22"/>
        </w:rPr>
        <w:t xml:space="preserve">), it is not currently controlled at the national level in Australia (Queensland Government, 2016). It is also considered to be an ‘environmental weed’ in New South Wales and Queensland (Queensland Government, 2016).</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on the quarantine pest list for FrenchPolynesia (e.g. see </w:t>
      </w:r>
      <w:hyperlink r:id="rId6543676da1ed461c7" w:history="1">
        <w:r>
          <w:rPr>
            <w:rFonts w:ascii="Calibri" w:hAnsi="Calibri" w:eastAsia="Calibri" w:cs="Calibri"/>
            <w:color w:val="0000CC"/>
            <w:sz w:val="22"/>
            <w:szCs w:val="22"/>
            <w:u w:val="single"/>
          </w:rPr>
          <w:t xml:space="preserve">www.biosecurity.govt.nz</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and was included in a summary ‘consolidated list’ by Howell (2008). However, it is not currently listed on the country’s National Plant Pest Accord (which would prohibit it from sale and commercial propagation and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 the composite list of weeds of the Weed Science Society of America </w:t>
      </w:r>
      <w:hyperlink r:id="rId3855676da1ed46248" w:history="1">
        <w:r>
          <w:rPr>
            <w:rFonts w:ascii="Calibri" w:hAnsi="Calibri" w:eastAsia="Calibri" w:cs="Calibri"/>
            <w:color w:val="0000CC"/>
            <w:sz w:val="22"/>
            <w:szCs w:val="22"/>
            <w:u w:val="single"/>
          </w:rPr>
          <w:t xml:space="preserve">wssa.net/wssa/weed/composite-list-of-weeds</w:t>
        </w:r>
      </w:hyperlink>
      <w:r>
        <w:rPr>
          <w:rFonts w:ascii="Calibri" w:hAnsi="Calibri" w:eastAsia="Calibri" w:cs="Calibri"/>
          <w:color w:val="000000"/>
          <w:sz w:val="22"/>
          <w:szCs w:val="22"/>
        </w:rPr>
        <w:t xml:space="preserve">); however, this does not imply by itself the existence of any regulatory instruments. In Hawaii, </w:t>
      </w:r>
      <w:r>
        <w:rPr>
          <w:rFonts w:ascii="Calibri" w:hAnsi="Calibri" w:eastAsia="Calibri" w:cs="Calibri"/>
          <w:i/>
          <w:iCs/>
          <w:color w:val="000000"/>
          <w:sz w:val="22"/>
          <w:szCs w:val="22"/>
        </w:rPr>
        <w:t xml:space="preserve">A. virginicu</w:t>
      </w:r>
      <w:r>
        <w:rPr>
          <w:rFonts w:ascii="Calibri" w:hAnsi="Calibri" w:eastAsia="Calibri" w:cs="Calibri"/>
          <w:color w:val="000000"/>
          <w:sz w:val="22"/>
          <w:szCs w:val="22"/>
        </w:rPr>
        <w:t xml:space="preserve">s is on the List of Plant Species Designated as Noxious Weeds for Eradication or Control Purposes by the Hawaii Department of Agriculture (</w:t>
      </w:r>
      <w:hyperlink r:id="rId8776676da1ed462ed" w:history="1">
        <w:r>
          <w:rPr>
            <w:rFonts w:ascii="Calibri" w:hAnsi="Calibri" w:eastAsia="Calibri" w:cs="Calibri"/>
            <w:color w:val="0000CC"/>
            <w:sz w:val="22"/>
            <w:szCs w:val="22"/>
            <w:u w:val="single"/>
          </w:rPr>
          <w:t xml:space="preserve">hdoa.Hawaii.gov</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listed as a ‘Prohibited Alien Species’ on the NEMBA mandated list of 2014. ‘[Prohibited alien species are] defined as alien species that are not yet in South Africa, that are known to be invasive and should not be imported into South Africa. If a Prohibited Alien species does occur in South Africa, it is automatically listed as a ‘Species that requires compulsory control’ unless listed otherwise’ (NEMBA Act 10 of 2014, </w:t>
      </w:r>
      <w:hyperlink r:id="rId2304676da1ed46356"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AVH (2017) Australia’s Virtual Herbarium. </w:t>
      </w:r>
      <w:hyperlink r:id="rId4537676da1ed463b9" w:history="1">
        <w:r>
          <w:rPr>
            <w:rFonts w:ascii="Calibri" w:hAnsi="Calibri" w:eastAsia="Calibri" w:cs="Calibri"/>
            <w:color w:val="0000CC"/>
            <w:sz w:val="22"/>
            <w:szCs w:val="22"/>
            <w:u w:val="single"/>
          </w:rPr>
          <w:t xml:space="preserve">http://avh.ala.org.au/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Balandier P, Collet C, Miller JH, Reynolds PE &amp; Zedaker SM (2006) Designing forest vegetation management strategies based on the mechanisms and dynamics of crop tree competition by neighbouring vegetation.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(1968) Succession on abandoned fields in the Shawnee Hills,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924–936.</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(1975) Plant species diversity in old-field successional ecosystems in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485–488.</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(1990) The response of natural ecosystems to the rising global COz levels.</w:t>
      </w:r>
      <w:r>
        <w:rPr>
          <w:rFonts w:ascii="Calibri" w:hAnsi="Calibri" w:eastAsia="Calibri" w:cs="Calibri"/>
          <w:i/>
          <w:iCs/>
          <w:color w:val="000000"/>
          <w:sz w:val="22"/>
          <w:szCs w:val="22"/>
        </w:rPr>
        <w:t xml:space="preserve"> Annual Review of Ecology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167–196.</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Redmon LA, Stritzke JF &amp; Goad CL (2006) Using prescribed fire, tillage, and fertilizer to manage broomsedge-infested pastures. </w:t>
      </w:r>
      <w:r>
        <w:rPr>
          <w:rFonts w:ascii="Calibri" w:hAnsi="Calibri" w:eastAsia="Calibri" w:cs="Calibri"/>
          <w:i/>
          <w:iCs/>
          <w:color w:val="000000"/>
          <w:sz w:val="22"/>
          <w:szCs w:val="22"/>
        </w:rPr>
        <w:t xml:space="preserve">Forage and Grazinglands </w:t>
      </w:r>
      <w:hyperlink r:id="rId1477676da1ed465e4" w:history="1">
        <w:r>
          <w:rPr>
            <w:rFonts w:ascii="Calibri" w:hAnsi="Calibri" w:eastAsia="Calibri" w:cs="Calibri"/>
            <w:color w:val="0000CC"/>
            <w:sz w:val="22"/>
            <w:szCs w:val="22"/>
            <w:u w:val="single"/>
          </w:rPr>
          <w:t xml:space="preserve">https://doi.org/10.1094/FG-2006-0424-01-RS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Stritzke JF, Redmon LA &amp; Goad CL (2002)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response to herbicides and burning.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18–22.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(broomsedge). </w:t>
      </w:r>
      <w:hyperlink r:id="rId8956676da1ed466bd" w:history="1">
        <w:r>
          <w:rPr>
            <w:rFonts w:ascii="Calibri" w:hAnsi="Calibri" w:eastAsia="Calibri" w:cs="Calibri"/>
            <w:color w:val="0000CC"/>
            <w:sz w:val="22"/>
            <w:szCs w:val="22"/>
            <w:u w:val="single"/>
          </w:rPr>
          <w:t xml:space="preserve">https://www.cabi.org/isc/datasheet/5286</w:t>
        </w:r>
      </w:hyperlink>
      <w:r>
        <w:rPr>
          <w:rFonts w:ascii="Calibri" w:hAnsi="Calibri" w:eastAsia="Calibri" w:cs="Calibri"/>
          <w:color w:val="000000"/>
          <w:sz w:val="22"/>
          <w:szCs w:val="22"/>
        </w:rPr>
        <w:t xml:space="preserve">. [Accessed on 9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CABI, Wallingford (UK). </w:t>
      </w:r>
      <w:hyperlink r:id="rId7168676da1ed466fc" w:history="1">
        <w:r>
          <w:rPr>
            <w:rFonts w:ascii="Calibri" w:hAnsi="Calibri" w:eastAsia="Calibri" w:cs="Calibri"/>
            <w:color w:val="0000CC"/>
            <w:sz w:val="22"/>
            <w:szCs w:val="22"/>
            <w:u w:val="single"/>
          </w:rPr>
          <w:t xml:space="preserve">http://www.cabi.org/isc/datasheet/5286</w:t>
        </w:r>
      </w:hyperlink>
      <w:r>
        <w:rPr>
          <w:rFonts w:ascii="Calibri" w:hAnsi="Calibri" w:eastAsia="Calibri" w:cs="Calibri"/>
          <w:color w:val="000000"/>
          <w:sz w:val="22"/>
          <w:szCs w:val="22"/>
        </w:rPr>
        <w:t xml:space="preserve"> [accessed on 22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(1982) Cleistogamy in </w:t>
      </w:r>
      <w:r>
        <w:rPr>
          <w:rFonts w:ascii="Calibri" w:hAnsi="Calibri" w:eastAsia="Calibri" w:cs="Calibri"/>
          <w:i/>
          <w:iCs/>
          <w:color w:val="000000"/>
          <w:sz w:val="22"/>
          <w:szCs w:val="22"/>
        </w:rPr>
        <w:t xml:space="preserve">Andropogon </w:t>
      </w:r>
      <w:r>
        <w:rPr>
          <w:rFonts w:ascii="Calibri" w:hAnsi="Calibri" w:eastAsia="Calibri" w:cs="Calibri"/>
          <w:color w:val="000000"/>
          <w:sz w:val="22"/>
          <w:szCs w:val="22"/>
        </w:rPr>
        <w:t xml:space="preserve">L. (Gramineae).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1625–1635.</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(1983) Systematics of the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complex (Gramineae). </w:t>
      </w:r>
      <w:r>
        <w:rPr>
          <w:rFonts w:ascii="Calibri" w:hAnsi="Calibri" w:eastAsia="Calibri" w:cs="Calibri"/>
          <w:i/>
          <w:iCs/>
          <w:color w:val="000000"/>
          <w:sz w:val="22"/>
          <w:szCs w:val="22"/>
        </w:rPr>
        <w:t xml:space="preserve">Journal of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171–254.</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 (2003) </w:t>
      </w:r>
      <w:r>
        <w:rPr>
          <w:rFonts w:ascii="Calibri" w:hAnsi="Calibri" w:eastAsia="Calibri" w:cs="Calibri"/>
          <w:i/>
          <w:iCs/>
          <w:color w:val="000000"/>
          <w:sz w:val="22"/>
          <w:szCs w:val="22"/>
        </w:rPr>
        <w:t xml:space="preserve">Andropogon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of North America North of </w:t>
      </w:r>
      <w:r>
        <w:rPr>
          <w:rFonts w:ascii="Calibri" w:hAnsi="Calibri" w:eastAsia="Calibri" w:cs="Calibri"/>
          <w:i/>
          <w:iCs/>
          <w:color w:val="000000"/>
          <w:sz w:val="22"/>
          <w:szCs w:val="22"/>
        </w:rPr>
        <w:t xml:space="preserve">Mexico, Volume 25, Magnoliophyta, Commelinidae, Poaceae, Part 2,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pp. 814. Oxford University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D’Antonio CM, Tunison JT &amp; Loh RK (2000) Variation in the impact of exotic grasses on native plant composition in relation to fire across an elevation gradient in Hawaii. </w:t>
      </w:r>
      <w:r>
        <w:rPr>
          <w:rFonts w:ascii="Calibri" w:hAnsi="Calibri" w:eastAsia="Calibri" w:cs="Calibri"/>
          <w:i/>
          <w:iCs/>
          <w:color w:val="000000"/>
          <w:sz w:val="22"/>
          <w:szCs w:val="22"/>
        </w:rPr>
        <w:t xml:space="preserve">Austral Ecology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507–522.</w:t>
      </w:r>
    </w:p>
    <w:p>
      <w:pPr>
        <w:widowControl w:val="on"/>
        <w:pBdr/>
        <w:spacing w:before="220" w:after="220" w:line="240" w:lineRule="auto"/>
        <w:ind w:left="0" w:right="0"/>
        <w:jc w:val="left"/>
      </w:pPr>
      <w:r>
        <w:rPr>
          <w:rFonts w:ascii="Calibri" w:hAnsi="Calibri" w:eastAsia="Calibri" w:cs="Calibri"/>
          <w:color w:val="000000"/>
          <w:sz w:val="22"/>
          <w:szCs w:val="22"/>
        </w:rPr>
        <w:t xml:space="preserve">Enomoto T, Ozawa Y, Kataoka H, Kariyama S &amp; Yamashita J (2007) An aggressive invader plant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in Japan and Hawaii Island. In: Marambe B, Sangakkara UR, De Costa WAJM &amp; Abeysekara ASK (Eds.). </w:t>
      </w:r>
      <w:r>
        <w:rPr>
          <w:rFonts w:ascii="Calibri" w:hAnsi="Calibri" w:eastAsia="Calibri" w:cs="Calibri"/>
          <w:i/>
          <w:iCs/>
          <w:color w:val="000000"/>
          <w:sz w:val="22"/>
          <w:szCs w:val="22"/>
        </w:rPr>
        <w:t xml:space="preserve">Proceedings of the 21st Asian Pacific Weed </w:t>
      </w:r>
      <w:r>
        <w:rPr>
          <w:rFonts w:ascii="Calibri" w:hAnsi="Calibri" w:eastAsia="Calibri" w:cs="Calibri"/>
          <w:i/>
          <w:iCs/>
          <w:color w:val="000000"/>
          <w:sz w:val="22"/>
          <w:szCs w:val="22"/>
        </w:rPr>
        <w:t xml:space="preserve">Science Society (APWSS) Conference</w:t>
      </w:r>
      <w:r>
        <w:rPr>
          <w:rFonts w:ascii="Calibri" w:hAnsi="Calibri" w:eastAsia="Calibri" w:cs="Calibri"/>
          <w:color w:val="000000"/>
          <w:sz w:val="22"/>
          <w:szCs w:val="22"/>
        </w:rPr>
        <w:t xml:space="preserve">, pp. 568–570.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7505676da1ed469de" w:history="1">
        <w:r>
          <w:rPr>
            <w:rFonts w:ascii="Calibri" w:hAnsi="Calibri" w:eastAsia="Calibri" w:cs="Calibri"/>
            <w:color w:val="0000CC"/>
            <w:sz w:val="22"/>
            <w:szCs w:val="22"/>
            <w:u w:val="single"/>
          </w:rPr>
          <w:t xml:space="preserve">https://www.eppo.int/INVASIVE_PLANTS/observation_list/Andropogon_virginicus.html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1446676da1ed46a3b" w:history="1">
        <w:r>
          <w:rPr>
            <w:rFonts w:ascii="Calibri" w:hAnsi="Calibri" w:eastAsia="Calibri" w:cs="Calibri"/>
            <w:color w:val="0000CC"/>
            <w:sz w:val="22"/>
            <w:szCs w:val="22"/>
            <w:u w:val="single"/>
          </w:rPr>
          <w:t xml:space="preserve">https://gd.eppo.int/download/doc/416_pra_pri_ANOVI.pdf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Paris (FR). </w:t>
      </w:r>
      <w:hyperlink r:id="rId7777676da1ed46aa4"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23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RO, Champion PD &amp; de Lange PJ (1996) </w:t>
      </w:r>
      <w:r>
        <w:rPr>
          <w:rFonts w:ascii="Calibri" w:hAnsi="Calibri" w:eastAsia="Calibri" w:cs="Calibri"/>
          <w:i/>
          <w:iCs/>
          <w:color w:val="000000"/>
          <w:sz w:val="22"/>
          <w:szCs w:val="22"/>
        </w:rPr>
        <w:t xml:space="preserve">Andropogon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Stipa tenuissima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Auckland Botanical Society Journal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Granereau G &amp; Verloove F (2010) Une poacée invasive nouvelle pour la France: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(Andropogoneae, Poaceae).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JL, Watson VH &amp; Strachan WF (1988) Selective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control in permanent pastures.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80–83.</w:t>
      </w:r>
    </w:p>
    <w:p>
      <w:pPr>
        <w:widowControl w:val="on"/>
        <w:pBdr/>
        <w:spacing w:before="220" w:after="220" w:line="240" w:lineRule="auto"/>
        <w:ind w:left="0" w:right="0"/>
        <w:jc w:val="left"/>
      </w:pPr>
      <w:r>
        <w:rPr>
          <w:rFonts w:ascii="Calibri" w:hAnsi="Calibri" w:eastAsia="Calibri" w:cs="Calibri"/>
          <w:color w:val="000000"/>
          <w:sz w:val="22"/>
          <w:szCs w:val="22"/>
        </w:rPr>
        <w:t xml:space="preserve">Groninger JW, Baer SG, Babassana DA &amp; Allen DH (2004) Planted green ash (</w:t>
      </w:r>
      <w:r>
        <w:rPr>
          <w:rFonts w:ascii="Calibri" w:hAnsi="Calibri" w:eastAsia="Calibri" w:cs="Calibri"/>
          <w:i/>
          <w:iCs/>
          <w:color w:val="000000"/>
          <w:sz w:val="22"/>
          <w:szCs w:val="22"/>
        </w:rPr>
        <w:t xml:space="preserve">Fraxinus pennsylvanica </w:t>
      </w:r>
      <w:r>
        <w:rPr>
          <w:rFonts w:ascii="Calibri" w:hAnsi="Calibri" w:eastAsia="Calibri" w:cs="Calibri"/>
          <w:color w:val="000000"/>
          <w:sz w:val="22"/>
          <w:szCs w:val="22"/>
        </w:rPr>
        <w:t xml:space="preserve">Marsh.) and herbaceous vegetation responses to initial competition control during the first 3 years of afforestation.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Science and Technical Publishing, Wellington (NZL).</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F, Vitousek PM &amp; Tunison T (1991) Alien grass invasion and fire in the seasonal submontane zone of Hawaii.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Irving RS (1983) Composition, production and management of eastern Arkansas prairies. In: Kucera CL (Ed.) </w:t>
      </w:r>
      <w:r>
        <w:rPr>
          <w:rFonts w:ascii="Calibri" w:hAnsi="Calibri" w:eastAsia="Calibri" w:cs="Calibri"/>
          <w:i/>
          <w:iCs/>
          <w:color w:val="000000"/>
          <w:sz w:val="22"/>
          <w:szCs w:val="22"/>
        </w:rPr>
        <w:t xml:space="preserve">Proceedings, 7th North American prairie conference</w:t>
      </w:r>
      <w:r>
        <w:rPr>
          <w:rFonts w:ascii="Calibri" w:hAnsi="Calibri" w:eastAsia="Calibri" w:cs="Calibri"/>
          <w:color w:val="000000"/>
          <w:sz w:val="22"/>
          <w:szCs w:val="22"/>
        </w:rPr>
        <w:t xml:space="preserve">; 1980 August 4-6, pp. 281–286. University of Missouri, Springfield (US), Columbia (US).</w:t>
      </w:r>
    </w:p>
    <w:p>
      <w:pPr>
        <w:widowControl w:val="on"/>
        <w:pBdr/>
        <w:spacing w:before="220" w:after="220" w:line="240" w:lineRule="auto"/>
        <w:ind w:left="0" w:right="0"/>
        <w:jc w:val="left"/>
      </w:pPr>
      <w:r>
        <w:rPr>
          <w:rFonts w:ascii="Calibri" w:hAnsi="Calibri" w:eastAsia="Calibri" w:cs="Calibri"/>
          <w:color w:val="000000"/>
          <w:sz w:val="22"/>
          <w:szCs w:val="22"/>
        </w:rPr>
        <w:t xml:space="preserve">Lee Y-M, Jong-Cheol Y, Park S-H, Lee J-H &amp; Lee C (2008) Two new naturalized species from Korea,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Aiton. </w:t>
      </w:r>
      <w:r>
        <w:rPr>
          <w:rFonts w:ascii="Calibri" w:hAnsi="Calibri" w:eastAsia="Calibri" w:cs="Calibri"/>
          <w:i/>
          <w:iCs/>
          <w:color w:val="000000"/>
          <w:sz w:val="22"/>
          <w:szCs w:val="22"/>
        </w:rPr>
        <w:t xml:space="preserve">Korean Journal of Plant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427–430.</w:t>
      </w:r>
    </w:p>
    <w:p>
      <w:pPr>
        <w:widowControl w:val="on"/>
        <w:pBdr/>
        <w:spacing w:before="220" w:after="220" w:line="240" w:lineRule="auto"/>
        <w:ind w:left="0" w:right="0"/>
        <w:jc w:val="left"/>
      </w:pPr>
      <w:r>
        <w:rPr>
          <w:rFonts w:ascii="Calibri" w:hAnsi="Calibri" w:eastAsia="Calibri" w:cs="Calibri"/>
          <w:color w:val="000000"/>
          <w:sz w:val="22"/>
          <w:szCs w:val="22"/>
        </w:rPr>
        <w:t xml:space="preserve">Lemon PC (1949) Successional responses of herbs in the longleaf-slash pine forest after fire.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Lewis CE &amp; Harshbarger TJ (1976) Shrub and herbaceous vegetation after 20 years of prescribed burning in the South Carolina coastal plain. </w:t>
      </w:r>
      <w:r>
        <w:rPr>
          <w:rFonts w:ascii="Calibri" w:hAnsi="Calibri" w:eastAsia="Calibri" w:cs="Calibri"/>
          <w:i/>
          <w:iCs/>
          <w:color w:val="000000"/>
          <w:sz w:val="22"/>
          <w:szCs w:val="22"/>
        </w:rPr>
        <w:t xml:space="preserve">Journal of Range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Mironova M (2013)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All-Russian Plant Quarantine Centre, Moscow (RUS).</w:t>
      </w:r>
    </w:p>
    <w:p>
      <w:pPr>
        <w:widowControl w:val="on"/>
        <w:pBdr/>
        <w:spacing w:before="220" w:after="220" w:line="240" w:lineRule="auto"/>
        <w:ind w:left="0" w:right="0"/>
        <w:jc w:val="left"/>
      </w:pPr>
      <w:r>
        <w:rPr>
          <w:rFonts w:ascii="Calibri" w:hAnsi="Calibri" w:eastAsia="Calibri" w:cs="Calibri"/>
          <w:color w:val="000000"/>
          <w:sz w:val="22"/>
          <w:szCs w:val="22"/>
        </w:rPr>
        <w:t xml:space="preserve">NIES (2017)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9252676da1ed46f65" w:history="1">
        <w:r>
          <w:rPr>
            <w:rFonts w:ascii="Calibri" w:hAnsi="Calibri" w:eastAsia="Calibri" w:cs="Calibri"/>
            <w:color w:val="0000CC"/>
            <w:sz w:val="22"/>
            <w:szCs w:val="22"/>
            <w:u w:val="single"/>
          </w:rPr>
          <w:t xml:space="preserve">https://www.nies.go.jp/biodiversity/invasive/DB/detail/81450e.html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EJ &amp; Lowance SA (1974) Fertility and management treatments to control broomsedge in pastures.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201–205.</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(2016)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Weeds of Australia, Biosecurity Queensland Edition. </w:t>
      </w:r>
      <w:hyperlink r:id="rId2835676da1ed4705d" w:history="1">
        <w:r>
          <w:rPr>
            <w:rFonts w:ascii="Calibri" w:hAnsi="Calibri" w:eastAsia="Calibri" w:cs="Calibri"/>
            <w:color w:val="0000CC"/>
            <w:sz w:val="22"/>
            <w:szCs w:val="22"/>
            <w:u w:val="single"/>
          </w:rPr>
          <w:t xml:space="preserve">http://keyserver.lucidcentral.org/weeds/data/media/Html/andropogon_virginicus.htm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Royaud A (2010) Note complémentaire sur l’</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s.l.: découverte à Arjuzanx (Landes).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422.</w:t>
      </w:r>
    </w:p>
    <w:p>
      <w:pPr>
        <w:widowControl w:val="on"/>
        <w:pBdr/>
        <w:spacing w:before="220" w:after="220" w:line="240" w:lineRule="auto"/>
        <w:ind w:left="0" w:right="0"/>
        <w:jc w:val="left"/>
      </w:pPr>
      <w:r>
        <w:rPr>
          <w:rFonts w:ascii="Calibri" w:hAnsi="Calibri" w:eastAsia="Calibri" w:cs="Calibri"/>
          <w:color w:val="000000"/>
          <w:sz w:val="22"/>
          <w:szCs w:val="22"/>
        </w:rPr>
        <w:t xml:space="preserve">Sorenson JC (1991) On the relationship of phenological strategy to ecological success: the case of broomsedge in Hawaii. </w:t>
      </w:r>
      <w:r>
        <w:rPr>
          <w:rFonts w:ascii="Calibri" w:hAnsi="Calibri" w:eastAsia="Calibri" w:cs="Calibri"/>
          <w:i/>
          <w:iCs/>
          <w:color w:val="000000"/>
          <w:sz w:val="22"/>
          <w:szCs w:val="22"/>
        </w:rPr>
        <w:t xml:space="preserve">Vegetatio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w:t>
      </w:r>
    </w:p>
    <w:p>
      <w:pPr>
        <w:widowControl w:val="on"/>
        <w:pBdr/>
        <w:spacing w:before="220" w:after="220" w:line="240" w:lineRule="auto"/>
        <w:ind w:left="0" w:right="0"/>
        <w:jc w:val="left"/>
      </w:pPr>
      <w:r>
        <w:rPr>
          <w:rFonts w:ascii="Calibri" w:hAnsi="Calibri" w:eastAsia="Calibri" w:cs="Calibri"/>
          <w:color w:val="000000"/>
          <w:sz w:val="22"/>
          <w:szCs w:val="22"/>
        </w:rPr>
        <w:t xml:space="preserve">Uchytil RJ (1992)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In: Fire Effects Information System, [Online]. U.S. Department of Agriculture, Forest Service, Rocky Mountain Research Station, Fire Sciences Laboratory (Producer). </w:t>
      </w:r>
      <w:hyperlink r:id="rId4597676da1ed47207" w:history="1">
        <w:r>
          <w:rPr>
            <w:rFonts w:ascii="Calibri" w:hAnsi="Calibri" w:eastAsia="Calibri" w:cs="Calibri"/>
            <w:color w:val="0000CC"/>
            <w:sz w:val="22"/>
            <w:szCs w:val="22"/>
            <w:u w:val="single"/>
          </w:rPr>
          <w:t xml:space="preserve">http://www.fs.fed.us/database/feis/</w:t>
        </w:r>
      </w:hyperlink>
      <w:r>
        <w:rPr>
          <w:rFonts w:ascii="Calibri" w:hAnsi="Calibri" w:eastAsia="Calibri" w:cs="Calibri"/>
          <w:color w:val="000000"/>
          <w:sz w:val="22"/>
          <w:szCs w:val="22"/>
        </w:rPr>
        <w:t xml:space="preserve"> [Accessed on 13 January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(2009) Schiedea nuttallii 5-Year Review Summary and Evaluation., Oregon (USA)US Fish and Wildlife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(USFWS) (1995) Lanai plant cluster recovery plan. U.S. Fish and Wildlife Service, Portland, Oregon. 238 pp. </w:t>
      </w:r>
      <w:hyperlink r:id="rId8445676da1ed47264" w:history="1">
        <w:r>
          <w:rPr>
            <w:rFonts w:ascii="Calibri" w:hAnsi="Calibri" w:eastAsia="Calibri" w:cs="Calibri"/>
            <w:color w:val="0000CC"/>
            <w:sz w:val="22"/>
            <w:szCs w:val="22"/>
            <w:u w:val="single"/>
          </w:rPr>
          <w:t xml:space="preserve">http://www.fws.gov/pacificislands/recoveryplans.html</w:t>
        </w:r>
      </w:hyperlink>
      <w:r>
        <w:rPr>
          <w:rFonts w:ascii="Calibri" w:hAnsi="Calibri" w:eastAsia="Calibri" w:cs="Calibri"/>
          <w:color w:val="000000"/>
          <w:sz w:val="22"/>
          <w:szCs w:val="22"/>
        </w:rPr>
        <w:t xml:space="preserve"> [Accessed on 26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Broomsedge bluestem. Plant Fact Sheet. </w:t>
      </w:r>
      <w:hyperlink r:id="rId3259676da1ed472a0" w:history="1">
        <w:r>
          <w:rPr>
            <w:rFonts w:ascii="Calibri" w:hAnsi="Calibri" w:eastAsia="Calibri" w:cs="Calibri"/>
            <w:color w:val="0000CC"/>
            <w:sz w:val="22"/>
            <w:szCs w:val="22"/>
            <w:u w:val="single"/>
          </w:rPr>
          <w:t xml:space="preserve">https://plants.usda.gov/factsheet/pdf/fs_anvi2.pdf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Invasive Plant Species of the World: A Reference Guide to Environmental Weeds. CABI Publishing,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 David L, Waldrop TA &amp; Jones SM (1991) Forty years of prescribed burning on the Santee fire plots: effects on understory vegetation. In Fire and the Environment: Ecological and Cultural Perspectives: Proceedings of an International Symposium; 1990 March 20–24; Knoxville, TN. Gen. Tech. Rep. SE-69 (eds. Nodvin SC &amp; Waldrop TA), pp. 51–59. U.S. Department of Agriculture, Forest Service, Southeastern Forest Experiment Station, Asheville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Зepнoв AC, Кocтылeвa HB, Maвpoдиeв EB &amp; Cyxopoкoв AП (2000) Флopиcтичecкиe иccлeдoвaния в Pocтoвcкoй oбл., Кpacнoдapcкoм Cтaвpoпoльcкoм кpaяx.</w:t>
      </w:r>
      <w:r>
        <w:rPr>
          <w:rFonts w:ascii="Calibri" w:hAnsi="Calibri" w:eastAsia="Calibri" w:cs="Calibri"/>
          <w:i/>
          <w:iCs/>
          <w:color w:val="000000"/>
          <w:sz w:val="22"/>
          <w:szCs w:val="22"/>
        </w:rPr>
        <w:t xml:space="preserve"> Бюллeтeнь MOИП, oтд. биoл</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53–54.</w:t>
      </w:r>
    </w:p>
    <w:p>
      <w:pPr>
        <w:widowControl w:val="on"/>
        <w:pBdr/>
        <w:spacing w:before="220" w:after="220" w:line="240" w:lineRule="auto"/>
        <w:ind w:left="0" w:right="0"/>
        <w:jc w:val="left"/>
      </w:pPr>
      <w:r>
        <w:rPr>
          <w:rFonts w:ascii="Calibri" w:hAnsi="Calibri" w:eastAsia="Calibri" w:cs="Calibri"/>
          <w:color w:val="000000"/>
          <w:sz w:val="22"/>
          <w:szCs w:val="22"/>
        </w:rPr>
        <w:t xml:space="preserve">Кoлaкoвcкий AA, Флopa Aбxaзии. 2-oe изд., Tбилиcи (1986) т. 4, cтp. 364.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EWG that risk analysed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datasheets on pests recommended for regulation. Available online. </w:t>
      </w:r>
      <w:hyperlink r:id="rId6559676da1ed47c1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61-66. </w:t>
      </w:r>
      <w:hyperlink r:id="rId2277676da1ed47d35" w:history="1">
        <w:r>
          <w:rPr>
            <w:rFonts w:ascii="Calibri" w:hAnsi="Calibri" w:eastAsia="Calibri" w:cs="Calibri"/>
            <w:color w:val="0000CC"/>
            <w:sz w:val="22"/>
            <w:szCs w:val="22"/>
            <w:u w:val="single"/>
          </w:rPr>
          <w:t xml:space="preserve">https://doi.org/10.1111/epp.12526</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195864">
    <w:multiLevelType w:val="hybridMultilevel"/>
    <w:lvl w:ilvl="0" w:tplc="19597337">
      <w:start w:val="1"/>
      <w:numFmt w:val="decimal"/>
      <w:lvlText w:val="%1."/>
      <w:lvlJc w:val="left"/>
      <w:pPr>
        <w:ind w:left="720" w:hanging="360"/>
      </w:pPr>
    </w:lvl>
    <w:lvl w:ilvl="1" w:tplc="19597337" w:tentative="1">
      <w:start w:val="1"/>
      <w:numFmt w:val="lowerLetter"/>
      <w:lvlText w:val="%2."/>
      <w:lvlJc w:val="left"/>
      <w:pPr>
        <w:ind w:left="1440" w:hanging="360"/>
      </w:pPr>
    </w:lvl>
    <w:lvl w:ilvl="2" w:tplc="19597337" w:tentative="1">
      <w:start w:val="1"/>
      <w:numFmt w:val="lowerRoman"/>
      <w:lvlText w:val="%3."/>
      <w:lvlJc w:val="right"/>
      <w:pPr>
        <w:ind w:left="2160" w:hanging="180"/>
      </w:pPr>
    </w:lvl>
    <w:lvl w:ilvl="3" w:tplc="19597337" w:tentative="1">
      <w:start w:val="1"/>
      <w:numFmt w:val="decimal"/>
      <w:lvlText w:val="%4."/>
      <w:lvlJc w:val="left"/>
      <w:pPr>
        <w:ind w:left="2880" w:hanging="360"/>
      </w:pPr>
    </w:lvl>
    <w:lvl w:ilvl="4" w:tplc="19597337" w:tentative="1">
      <w:start w:val="1"/>
      <w:numFmt w:val="lowerLetter"/>
      <w:lvlText w:val="%5."/>
      <w:lvlJc w:val="left"/>
      <w:pPr>
        <w:ind w:left="3600" w:hanging="360"/>
      </w:pPr>
    </w:lvl>
    <w:lvl w:ilvl="5" w:tplc="19597337" w:tentative="1">
      <w:start w:val="1"/>
      <w:numFmt w:val="lowerRoman"/>
      <w:lvlText w:val="%6."/>
      <w:lvlJc w:val="right"/>
      <w:pPr>
        <w:ind w:left="4320" w:hanging="180"/>
      </w:pPr>
    </w:lvl>
    <w:lvl w:ilvl="6" w:tplc="19597337" w:tentative="1">
      <w:start w:val="1"/>
      <w:numFmt w:val="decimal"/>
      <w:lvlText w:val="%7."/>
      <w:lvlJc w:val="left"/>
      <w:pPr>
        <w:ind w:left="5040" w:hanging="360"/>
      </w:pPr>
    </w:lvl>
    <w:lvl w:ilvl="7" w:tplc="19597337" w:tentative="1">
      <w:start w:val="1"/>
      <w:numFmt w:val="lowerLetter"/>
      <w:lvlText w:val="%8."/>
      <w:lvlJc w:val="left"/>
      <w:pPr>
        <w:ind w:left="5760" w:hanging="360"/>
      </w:pPr>
    </w:lvl>
    <w:lvl w:ilvl="8" w:tplc="19597337" w:tentative="1">
      <w:start w:val="1"/>
      <w:numFmt w:val="lowerRoman"/>
      <w:lvlText w:val="%9."/>
      <w:lvlJc w:val="right"/>
      <w:pPr>
        <w:ind w:left="6480" w:hanging="180"/>
      </w:pPr>
    </w:lvl>
  </w:abstractNum>
  <w:abstractNum w:abstractNumId="14195863">
    <w:multiLevelType w:val="hybridMultilevel"/>
    <w:lvl w:ilvl="0" w:tplc="180721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195863">
    <w:abstractNumId w:val="14195863"/>
  </w:num>
  <w:num w:numId="14195864">
    <w:abstractNumId w:val="141958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2178306" Type="http://schemas.microsoft.com/office/2011/relationships/commentsExtended" Target="commentsExtended.xml"/><Relationship Id="rId131761673" Type="http://schemas.microsoft.com/office/2011/relationships/people" Target="people.xml"/><Relationship Id="rId6614676da1ed43214" Type="http://schemas.openxmlformats.org/officeDocument/2006/relationships/hyperlink" Target="https://gd.eppo.int/taxon/ANOVI/" TargetMode="External"/><Relationship Id="rId4537676da1ed4327e" Type="http://schemas.openxmlformats.org/officeDocument/2006/relationships/hyperlink" Target="https://gd.eppo.int/taxon/ANOVI/categorization" TargetMode="External"/><Relationship Id="rId8128676da1ed46180" Type="http://schemas.openxmlformats.org/officeDocument/2006/relationships/hyperlink" Target="http://weeds.brisbane.qld.gov.au/weeds/whisky-grass" TargetMode="External"/><Relationship Id="rId6543676da1ed461c7" Type="http://schemas.openxmlformats.org/officeDocument/2006/relationships/hyperlink" Target="http://www.biosecurity.govt.nz/node/7067" TargetMode="External"/><Relationship Id="rId3855676da1ed46248" Type="http://schemas.openxmlformats.org/officeDocument/2006/relationships/hyperlink" Target="http://wssa.net/wssa/weed/composite-list-of-weeds/" TargetMode="External"/><Relationship Id="rId8776676da1ed462ed" Type="http://schemas.openxmlformats.org/officeDocument/2006/relationships/hyperlink" Target="https://hdoa.Hawaii.gov/pi/files/2013/01/AR-68.pdf" TargetMode="External"/><Relationship Id="rId2304676da1ed46356" Type="http://schemas.openxmlformats.org/officeDocument/2006/relationships/hyperlink" Target="http://www.environment.gov.za" TargetMode="External"/><Relationship Id="rId4537676da1ed463b9" Type="http://schemas.openxmlformats.org/officeDocument/2006/relationships/hyperlink" Target="http://avh.ala.org.au/" TargetMode="External"/><Relationship Id="rId1477676da1ed465e4" Type="http://schemas.openxmlformats.org/officeDocument/2006/relationships/hyperlink" Target="https://doi.org/10.1094/FG-2006-0424-01-RS" TargetMode="External"/><Relationship Id="rId8956676da1ed466bd" Type="http://schemas.openxmlformats.org/officeDocument/2006/relationships/hyperlink" Target="https://www.cabi.org/isc/datasheet/5286" TargetMode="External"/><Relationship Id="rId7168676da1ed466fc" Type="http://schemas.openxmlformats.org/officeDocument/2006/relationships/hyperlink" Target="http://www.cabi.org/isc/datasheet/5286" TargetMode="External"/><Relationship Id="rId7505676da1ed469de" Type="http://schemas.openxmlformats.org/officeDocument/2006/relationships/hyperlink" Target="https://www.eppo.int/INVASIVE_PLANTS/observation_list/Andropogon_virginicus.html" TargetMode="External"/><Relationship Id="rId1446676da1ed46a3b" Type="http://schemas.openxmlformats.org/officeDocument/2006/relationships/hyperlink" Target="https://gd.eppo.int/download/doc/416_pra_pri_ANOVI.pdf" TargetMode="External"/><Relationship Id="rId7777676da1ed46aa4" Type="http://schemas.openxmlformats.org/officeDocument/2006/relationships/hyperlink" Target="https://pra.eppo.int/" TargetMode="External"/><Relationship Id="rId9252676da1ed46f65" Type="http://schemas.openxmlformats.org/officeDocument/2006/relationships/hyperlink" Target="https://www.nies.go.jp/biodiversity/invasive/DB/detail/81450e.html" TargetMode="External"/><Relationship Id="rId2835676da1ed4705d" Type="http://schemas.openxmlformats.org/officeDocument/2006/relationships/hyperlink" Target="http://keyserver.lucidcentral.org/weeds/data/media/Html/andropogon_virginicus.htm" TargetMode="External"/><Relationship Id="rId4597676da1ed47207" Type="http://schemas.openxmlformats.org/officeDocument/2006/relationships/hyperlink" Target="http://www.fs.fed.us/database/feis/" TargetMode="External"/><Relationship Id="rId8445676da1ed47264" Type="http://schemas.openxmlformats.org/officeDocument/2006/relationships/hyperlink" Target="http://www.fws.gov/pacificislands/recoveryplans.html" TargetMode="External"/><Relationship Id="rId3259676da1ed472a0" Type="http://schemas.openxmlformats.org/officeDocument/2006/relationships/hyperlink" Target="https://plants.usda.gov/factsheet/pdf/fs_anvi2.pdf" TargetMode="External"/><Relationship Id="rId6559676da1ed47c14" Type="http://schemas.openxmlformats.org/officeDocument/2006/relationships/hyperlink" Target="https://gd.eppo.int" TargetMode="External"/><Relationship Id="rId2277676da1ed47d35" Type="http://schemas.openxmlformats.org/officeDocument/2006/relationships/hyperlink" Target="https://doi.org/10.1111/epp.12526" TargetMode="External"/><Relationship Id="rId1791676da1ed44cb5" Type="http://schemas.openxmlformats.org/officeDocument/2006/relationships/image" Target="media/imgrId1791676da1ed44cb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