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fraterculus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fraterculus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Anastrepha braziliensis</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costarukmanii</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fraterculus var.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Anastrepha lambayecae</w:t>
            </w:r>
            <w:r>
              <w:rPr>
                <w:rFonts w:ascii="Calibri" w:hAnsi="Calibri" w:eastAsia="Calibri" w:cs="Calibri"/>
                <w:color w:val="000000"/>
                <w:position w:val="-3"/>
                <w:sz w:val="22"/>
                <w:szCs w:val="22"/>
              </w:rPr>
              <w:t xml:space="preserve"> Korytkowski &amp; Ojeda, </w:t>
            </w:r>
            <w:r>
              <w:rPr>
                <w:rFonts w:ascii="Calibri" w:hAnsi="Calibri" w:eastAsia="Calibri" w:cs="Calibri"/>
                <w:i/>
                <w:iCs/>
                <w:color w:val="000000"/>
                <w:position w:val="-3"/>
                <w:sz w:val="22"/>
                <w:szCs w:val="22"/>
              </w:rPr>
              <w:t xml:space="preserve">Anastrepha peruviana</w:t>
            </w:r>
            <w:r>
              <w:rPr>
                <w:rFonts w:ascii="Calibri" w:hAnsi="Calibri" w:eastAsia="Calibri" w:cs="Calibri"/>
                <w:color w:val="000000"/>
                <w:position w:val="-3"/>
                <w:sz w:val="22"/>
                <w:szCs w:val="22"/>
              </w:rPr>
              <w:t xml:space="preserve"> Townsend, </w:t>
            </w:r>
            <w:r>
              <w:rPr>
                <w:rFonts w:ascii="Calibri" w:hAnsi="Calibri" w:eastAsia="Calibri" w:cs="Calibri"/>
                <w:i/>
                <w:iCs/>
                <w:color w:val="000000"/>
                <w:position w:val="-3"/>
                <w:sz w:val="22"/>
                <w:szCs w:val="22"/>
              </w:rPr>
              <w:t xml:space="preserve">Anastrepha pseudofraterculus</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scholae</w:t>
            </w:r>
            <w:r>
              <w:rPr>
                <w:rFonts w:ascii="Calibri" w:hAnsi="Calibri" w:eastAsia="Calibri" w:cs="Calibri"/>
                <w:color w:val="000000"/>
                <w:position w:val="-3"/>
                <w:sz w:val="22"/>
                <w:szCs w:val="22"/>
              </w:rPr>
              <w:t xml:space="preserve"> Capoor, </w:t>
            </w:r>
            <w:r>
              <w:rPr>
                <w:rFonts w:ascii="Calibri" w:hAnsi="Calibri" w:eastAsia="Calibri" w:cs="Calibri"/>
                <w:i/>
                <w:iCs/>
                <w:color w:val="000000"/>
                <w:position w:val="-3"/>
                <w:sz w:val="22"/>
                <w:szCs w:val="22"/>
              </w:rPr>
              <w:t xml:space="preserve">Anastrepha soluta</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Anthomyia frutalis</w:t>
            </w:r>
            <w:r>
              <w:rPr>
                <w:rFonts w:ascii="Calibri" w:hAnsi="Calibri" w:eastAsia="Calibri" w:cs="Calibri"/>
                <w:color w:val="000000"/>
                <w:position w:val="-3"/>
                <w:sz w:val="22"/>
                <w:szCs w:val="22"/>
              </w:rPr>
              <w:t xml:space="preserve"> Weyenburgh, </w:t>
            </w:r>
            <w:r>
              <w:rPr>
                <w:rFonts w:ascii="Calibri" w:hAnsi="Calibri" w:eastAsia="Calibri" w:cs="Calibri"/>
                <w:i/>
                <w:iCs/>
                <w:color w:val="000000"/>
                <w:position w:val="-3"/>
                <w:sz w:val="22"/>
                <w:szCs w:val="22"/>
              </w:rPr>
              <w:t xml:space="preserve">Dacus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Tephritis mellea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Trypeta fraterculus</w:t>
            </w:r>
            <w:r>
              <w:rPr>
                <w:rFonts w:ascii="Calibri" w:hAnsi="Calibri" w:eastAsia="Calibri" w:cs="Calibri"/>
                <w:color w:val="000000"/>
                <w:position w:val="-3"/>
                <w:sz w:val="22"/>
                <w:szCs w:val="22"/>
              </w:rPr>
              <w:t xml:space="preserve"> (Wiedemann), </w:t>
            </w:r>
            <w:r>
              <w:rPr>
                <w:rFonts w:ascii="Calibri" w:hAnsi="Calibri" w:eastAsia="Calibri" w:cs="Calibri"/>
                <w:i/>
                <w:iCs/>
                <w:color w:val="000000"/>
                <w:position w:val="-3"/>
                <w:sz w:val="22"/>
                <w:szCs w:val="22"/>
              </w:rPr>
              <w:t xml:space="preserve">Trypeta unicolor</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fruit fly</w:t>
            </w:r>
            <w:hyperlink r:id="rId5352680519afd0f3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828680519afd0f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Populations previously treated as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(Wiedemann) are now considered to be a complex of multiple cryptic, or morphologically very similar, species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Despite tremendous progress in the past decade in terms of investigating the individual species, their morphological diagnosis remains problematic, the status of some populations remains unresolved, and the full geographic distributions and host ranges of most of the species are uncertain.</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eight ‘morphs’ (Andean, Brazil-1, Brazil-2, Brazil-3, Ecuadorean, Mexican, Peruvian, lowland Venezuelan) have been recognized by morphometric analysis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2015). Most of these also can be diagnosed by molecular methods (ITS1 sequences)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although it remains unclear if the Andean and Ecuadorian morphs are distinct and if the lowland Venezuelan morph, which has been less well studied, is distinct from the Mexican morph. Recently, additional populations with different ITS1 types have been discovered in Suriname, Brazil and the Amazon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unpublished). Studies based on various other types of data, including isozymes, karyotypes, mating incompatibility, pheromones, and pest status (e.g., see Steck, 1991, 1999, Hernández-Ortiz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Cáceres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Devescovi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also Alberti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indicate that the majority of the morphs are clearly not conspecific.</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oldest name pertaining to the complex is </w:t>
      </w:r>
      <w:r>
        <w:rPr>
          <w:rFonts w:ascii="Calibri" w:hAnsi="Calibri" w:eastAsia="Calibri" w:cs="Calibri"/>
          <w:i/>
          <w:iCs/>
          <w:color w:val="000000"/>
          <w:sz w:val="22"/>
          <w:szCs w:val="22"/>
        </w:rPr>
        <w:t xml:space="preserve">Dacus fraterculus</w:t>
      </w:r>
      <w:r>
        <w:rPr>
          <w:rFonts w:ascii="Calibri" w:hAnsi="Calibri" w:eastAsia="Calibri" w:cs="Calibri"/>
          <w:color w:val="000000"/>
          <w:sz w:val="22"/>
          <w:szCs w:val="22"/>
        </w:rPr>
        <w:t xml:space="preserve"> Wiedemann, 1830. The current combination was proposed by Wulp (1899). Ten other names are currently recognized as synonyms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but remain available and may become valid in the future when the cryptic species within the</w:t>
      </w:r>
      <w:r>
        <w:rPr>
          <w:rFonts w:ascii="Calibri" w:hAnsi="Calibri" w:eastAsia="Calibri" w:cs="Calibri"/>
          <w:i/>
          <w:iCs/>
          <w:color w:val="000000"/>
          <w:sz w:val="22"/>
          <w:szCs w:val="22"/>
        </w:rPr>
        <w:t xml:space="preserve"> Anastrepha fraterculus</w:t>
      </w:r>
      <w:r>
        <w:rPr>
          <w:rFonts w:ascii="Calibri" w:hAnsi="Calibri" w:eastAsia="Calibri" w:cs="Calibri"/>
          <w:color w:val="000000"/>
          <w:sz w:val="22"/>
          <w:szCs w:val="22"/>
        </w:rPr>
        <w:t xml:space="preserve"> complex are formally recognized.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infrageneric classification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consists of more than 30 informal species groups (as opposed to formal subgenera).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should not be confused with the larger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which includes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well as more than 40 other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as a whole is broadly polyphagous (Norrbom, 2004), with over 200 reported host plants, but many preferred hosts are Myrtaceae, particularly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Other cultivated mytaceous hosts include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feijoa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w:t>
      </w:r>
      <w:r>
        <w:rPr>
          <w:rFonts w:ascii="Calibri" w:hAnsi="Calibri" w:eastAsia="Calibri" w:cs="Calibri"/>
          <w:color w:val="000000"/>
          <w:sz w:val="22"/>
          <w:szCs w:val="22"/>
        </w:rPr>
        <w:t xml:space="preserve"> spp., rose apple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Surinam cherry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and nearly 40 wild myrtaceous hosts have been reported.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especially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loquat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chirimoya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are commonly reported hosts.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widely planted as an ornamental, and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in which the fruit is infested but the bean is not damaged, are important reservoir hosts (Rodríguez &amp; Arévalo, 2015).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among the cultivated crops attacked in Southern Brazil, although most of the primary hosts are Myrtaceae (Salles, 1995). Guava, feijoa, blackberry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and peach are among the commercial crops attacked in Colombia (Rodríguez &amp; Arévalo, 2015), and chirimoya, loquat, guava and peach are favored host plants in the inter-Andean parts of Ecuador and guava, mango, </w:t>
      </w:r>
      <w:r>
        <w:rPr>
          <w:rFonts w:ascii="Calibri" w:hAnsi="Calibri" w:eastAsia="Calibri" w:cs="Calibri"/>
          <w:i/>
          <w:iCs/>
          <w:color w:val="000000"/>
          <w:sz w:val="22"/>
          <w:szCs w:val="22"/>
        </w:rPr>
        <w:t xml:space="preserve">Inga</w:t>
      </w:r>
      <w:r>
        <w:rPr>
          <w:rFonts w:ascii="Calibri" w:hAnsi="Calibri" w:eastAsia="Calibri" w:cs="Calibri"/>
          <w:color w:val="000000"/>
          <w:sz w:val="22"/>
          <w:szCs w:val="22"/>
        </w:rPr>
        <w:t xml:space="preserve"> spp.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spp. are attacked in other parts of the country (Molineros et al. 1992). Guava, Surinam cherry, grapefruit, cherimoya, apricot, plum and peach are significant hosts in Argentina (Ovruski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Segura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Alchornea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Ampelocera hottlei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Andira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crassiflora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dolabripetala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neosericea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rugulosa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Bellucia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Bunchosia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Calycolpus moritzianus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adamantium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espiritosantensis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guaviroba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guazumifolia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lineatifolia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laetioides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iguanaea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mexicanum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aschersoniana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Diatenopteryx sorbifolia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Endlicheria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gemmiflora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platysema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Helicostylis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semialata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vera subsp.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Jacaratia heptaphylla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acutiflora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Myrceugenia euosma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popayanensis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dubia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strigipes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Peritassa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Picramnia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gardneriana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 subsp. insititia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sellowii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myrtoides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striatulum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glaucus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Simaba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decompositiflorum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nudum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radlkoferi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Turpinia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range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extends from Northern Mexico to Northern Argentina (Hernández-Ortiz 1992, Hernández-Ortiz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Mexican morph occurs from Northern Mexico through Central America to at least Colombia. It has been trapped sporadically in the Rio Grande Valley of Texas (USA), but is not currently considered established. The lowland Venezuelan form is recorded only from lowland areas of Western Venezuela. The Andean morph occurs in the Andes in Western Venezuela and Colombia, and the Ecuadorian morph in the Andes in Ecuador and Peru. The Peruvian morph occurs at lower, drier elevations in Southern Colombia, Ecuador and Peru. It is invasive in the Galapagos Islands (Harper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Three morphs occur in Brazil (Vaníčková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Brazil-2 and Brazil-3 morphs occur only in Brazil, whereas the Brazil-1 morph occurs in Southeastern and Southern Brazil, Uruguay, Northern Argentina, Paraguay, Bolivia and highland areas of Southern Peru. It is presumed to be invasive in at least the latter two countries. An invasive population in Chile (morph unknown) was eradicated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r>
        <w:drawing>
          <wp:inline distT="0" distB="0" distL="0" distR="0">
            <wp:extent cx="6120000" cy="3067200"/>
            <wp:docPr id="54931885" name="name4047680519afd3e33" descr="ANS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FR_distribution_map.jpg"/>
                    <pic:cNvPicPr/>
                  </pic:nvPicPr>
                  <pic:blipFill>
                    <a:blip r:embed="rId6697680519afd3e2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Amapa, Amazonas, Bahia, Ceara, Espirito Santo, Goias, Maranhao, Mato Grosso, Mato Grosso do Sul, Minas Gerais, Para, Paraiba, Parana, Pernambuco, Piaui, Rio de Janeiro, Rio Grande do Norte, Rio Grande do Sul, Roraima, Santa Catarina, Sao Paulo, Tocantins),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aspects of the biology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were reviewed by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the life cycle includes: the egg, 3 larval stages, pupa, and adult. Eggs are laid in the host fruit and all three larval stages feed in the flesh of the fruit. Mature larvae exit the fruit and pupariate in the soil. Salles (2000) presented a table showing the length of development (presumably for the Brazil-1 morph) at temperatures from 15-30°C. At 25°C the eggs hatch in 2.6-3.2 days and the larvae feed for another 11-14 days (up to 34.5 days at 15°). Adults emerge after a 10-15 day (43.2 days at 15°) pupal stage and may live up to 161 days in laboratory conditions. Females can produce 200-437 eggs (Salles, 2000,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Adult males produce a pheromone and lek to attract females for mating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is no winter diapause or quiescence in more temperate areas such as Southern Brazil (Salles &amp; Carvalho,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as is the case for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Frías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summarized by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provided at least partial descriptive information on the third instar for the Andean, Brazil-1, Ecuadorian, Mexican, and Peruvian morphs, and Canal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conducted a morphometric analysis of these morphs.</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lacking an external head capsule, tapered anteriorly and truncate posteriorly. The two mandibles, or mouthhooks, are strongly developed and equal in size. The posterior spiracular plate is weak, unpigmented, without a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and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Length 4.9-11.0 mm. Head: Stomal sensory organ with primary lobe large, elongate-rounded, with 3 small sensilla; 7-11 oral ridges with margins irregularly serrate, scalloped, or emarginate; 8-11 serrate accessory plates; mandible moderately sclerotized, 0.15-0.18 mm long, with single large slender curved apical tooth. Thoracic and abdominal segments: T1-T2 and sometimes T3 and A1-A3 middorsally with rows of spinules; A4-A8 without dorsal spinules medially; caudal segment with tubercles and 10 pairs of sensilla small but obvious. Anterior spiracle bilobed, with 9-18 tubules in single row. Posterior spiracle with spiracular slits about 2.7-3.8 times as long as broad, with moderately sclerotized rimae. Anal lobes simple or grooved.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the Brazilian morphs has been studied in detail (Selivon &amp; Perondini 1999, Selivon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in most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species group, the eggs of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white, spindle-shaped, broad anteriorly, tapering posteriorly; with faint reticulation consisting primarily of irregular pentagons and hexagons. They can be distinguished from the egg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by the lack of a small lobe on the anterior end.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have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very difficult as there are several extremely similar species; if necessary, specimens should be referred to a specialist.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Brazil-1 morph often with pair of irregular brown marks posterolaterally on scutum; scutellum entirely white or yellow except extreme base; subscutellum (lens-shaped sclerite below scutellum) orange medially, dark brown laterally; mediotergite brown laterally, orange medially;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connected or separated; oviscape (in female) entirely yellow to orange brown, 1.65-2.15 mm long, 0.55–0.75 times mesonotum length; aculeus 1.40-2.06 mm long; aculeus tip 0.20–0.30 mm long, 0.12-0.15 mm wide; gradually tapering, but with medial constriction; distal 0.47–0.65 serrate; lateral margins not curved dorsally; phallus (in male) 2.6–3.45 mm long, 0.9–1.1 times mesonotum length.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fraterculus </w:t>
      </w:r>
      <w:r>
        <w:rPr>
          <w:rFonts w:ascii="Calibri" w:hAnsi="Calibri" w:eastAsia="Calibri" w:cs="Calibri"/>
          <w:color w:val="000000"/>
          <w:sz w:val="22"/>
          <w:szCs w:val="22"/>
        </w:rPr>
        <w:t xml:space="preserve">complex generally cannot be distinguished from many of the other species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species group based on differences in the DNA barcode region of the cytochrome oxidase I gene, although the Mexican morph differs from the other morphs but not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nuclear ribosomal internal transcribed spacer 1 (ITS1) has been found to distinguish most of the morphs within the complex, with the exception of the Andean and Ecuadorian morphs, and the lowland Venezuelan and Mexican morphs (Sutton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Prezotto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so far commercially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have not been reported to disperse over long distances, but natural movement of adults is still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EPPO region, the most important fruits liable to carry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cultivated Myrtaceae, and to a lesser extent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There is also a risk from the transport of puparia in soil or packaging with plants which have already fruited.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The Andean/Ecuadorian, Brazil-1, and Peruvian morphs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are among the most significant fruit fly pests in the areas where they occur, particularly in the Andean countries, Southern Brazil, Northern Argentina, Uruguay and Paraguay, whereas in other areas the pest status of the other morphs is less significant or not well studied (</w:t>
      </w:r>
      <w:r>
        <w:rPr>
          <w:rFonts w:ascii="Calibri" w:hAnsi="Calibri" w:eastAsia="Calibri" w:cs="Calibri"/>
          <w:color w:val="000000"/>
          <w:sz w:val="22"/>
          <w:szCs w:val="22"/>
        </w:rPr>
        <w:t xml:space="preserve">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color w:val="000000"/>
          <w:sz w:val="22"/>
          <w:szCs w:val="22"/>
        </w:rPr>
        <w:t xml:space="preserve">, Salles, 1995, Molineros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Rodríguez &amp; Arévalo,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(Bateman, 1982, Roessler, 1989). The toxicity to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(presumably Brazil-1 morph) of different insecticides used in baits was compared by Salles (1995). Cultural practices, such as destroying all fallen and infested fruits, are also used. Biological control with braconid wasps has been tested in Argentina (Ovruski &amp; Schliserman, 2012), and research has been conducted towards mass rearing and implementation of a sterile insect technique (SIT) program against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in several countries, but especially Argentina (Cladera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has a broad range of hosts and at least three of the morphs (Andean/Ecuadorean, Brazil-1, and Peruvian) are major pests where they occur. The Andean/Ecuadorian and Brazil-1 morphs in particular occur in more temperate areas (higher altitude or lower latitude) of South America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may pose a higher risk of establishment in other subtropical areas of the world. The Peruvian morph occurs in dry inter-Andean valleys and river valleys within the Peruvian desert, thus may be more of a threat to arid subtropical regions. The Brazil-1 morph is invasive at least in Bolivia and Peru, and the Peruvian morph is invasive in the Galapagos Islands.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thought to be capable of surviving the cold winters of the northern and central part of the EPPO region, thus the risk of establishment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is limited to the warmer southern parts of the EPPO region. The major risk for EPPO countries may be the probable imposition of stricter phytosanitary restrictions on exported fruits (particularly to America and Japan) if  any species of the</w:t>
      </w:r>
      <w:r>
        <w:rPr>
          <w:rFonts w:ascii="Calibri" w:hAnsi="Calibri" w:eastAsia="Calibri" w:cs="Calibri"/>
          <w:i/>
          <w:iCs/>
          <w:color w:val="000000"/>
          <w:sz w:val="22"/>
          <w:szCs w:val="22"/>
        </w:rPr>
        <w:t xml:space="preserve"> fraterculus</w:t>
      </w:r>
      <w:r>
        <w:rPr>
          <w:rFonts w:ascii="Calibri" w:hAnsi="Calibri" w:eastAsia="Calibri" w:cs="Calibri"/>
          <w:color w:val="000000"/>
          <w:sz w:val="22"/>
          <w:szCs w:val="22"/>
        </w:rPr>
        <w:t xml:space="preserve"> complex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inspected for symptoms of infestation and those suspected should be cut open in order to look for larvae. EPPO recommends that such fruits should come from an area where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complex does not occur, or from a place of production found free from the pest by regular inspection for 3 months before harvest. Fruits may also be treated in transit by cold treatment or, for certain types of fruits, by vapour heat or hot water immersion (USDA, 2021).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tested the response of three morphs to cold treatment and concluded that current approved cold treatments will work for all morphs of the complex. Ethylene dibromide was previously widely used as a fumigant but is now generally withdrawn because of its carcinogenicity; methyl bromide is approved on a very limited basis (e.g., USDA approves use for Mexican clementines, grapefruit and oranges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(T101-j-2-1); for blueberries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(T101-i-1-1 and T101-i-1-2); and for kumquats for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(T101-n-3)) (USDA, 2021). Irradiation at 70 gy is considered effective treatment for immature stages (USDA, 2021).</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the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complex occurs should be free from soil, or the soil should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Fruit flies (Tephritidae): Phylogeny and evolution of behavior (Ed. by Aluja, M; Norrbom, A.L.), p. 375–406. CRC Press, Boca Raton, 944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w:t>
      </w:r>
    </w:p>
    <w:p>
      <w:pPr>
        <w:widowControl w:val="on"/>
        <w:pBdr/>
        <w:spacing w:before="220" w:after="220" w:line="240" w:lineRule="auto"/>
        <w:ind w:left="0" w:right="0"/>
        <w:jc w:val="left"/>
      </w:pPr>
      <w:r>
        <w:rPr>
          <w:rFonts w:ascii="Calibri" w:hAnsi="Calibri" w:eastAsia="Calibri" w:cs="Calibri"/>
          <w:color w:val="000000"/>
          <w:sz w:val="22"/>
          <w:szCs w:val="22"/>
        </w:rPr>
        <w:t xml:space="preserve">Cáceres C, Segura DF, Vera MT, Wornoayporn V, Cladera JL, Teal P, Sapountzis P, Bourtzis K, Zacharopoulou A, Robinson AS (2009) Incipient speciation revealed in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by studies on mating compatibility, sex pheromones, hybridization, and cytology.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152–165. </w:t>
      </w:r>
    </w:p>
    <w:p>
      <w:pPr>
        <w:widowControl w:val="on"/>
        <w:pBdr/>
        <w:spacing w:before="220" w:after="220" w:line="240" w:lineRule="auto"/>
        <w:ind w:left="0" w:right="0"/>
        <w:jc w:val="left"/>
      </w:pPr>
      <w:r>
        <w:rPr>
          <w:rFonts w:ascii="Calibri" w:hAnsi="Calibri" w:eastAsia="Calibri" w:cs="Calibri"/>
          <w:color w:val="000000"/>
          <w:sz w:val="22"/>
          <w:szCs w:val="22"/>
        </w:rPr>
        <w:t xml:space="preserve">Canal NA, Hernández-Ortiz V, Tigrero Salas JO, Selivon D (2015) Morphometric study of third-instar larvae from five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41–59.</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w:t>
      </w:r>
      <w:hyperlink r:id="rId7528680519afd538f" w:history="1">
        <w:r>
          <w:rPr>
            <w:rFonts w:ascii="Calibri" w:hAnsi="Calibri" w:eastAsia="Calibri" w:cs="Calibri"/>
            <w:color w:val="0000CC"/>
            <w:sz w:val="22"/>
            <w:szCs w:val="22"/>
            <w:u w:val="single"/>
          </w:rPr>
          <w:t xml:space="preserve">https://www.delta-intkey.com/ffl/index.htm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Cladera JL, Vilardi JC, Juri M, Paulin LE, Giardini MC, Gómez Cendra PV, Segura DF, Lanzavecchia SB (2014) Genetics and biology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research supporting the use of the sterile insect technique (SIT) to control this pest in Argentina. </w:t>
      </w:r>
      <w:r>
        <w:rPr>
          <w:rFonts w:ascii="Calibri" w:hAnsi="Calibri" w:eastAsia="Calibri" w:cs="Calibri"/>
          <w:i/>
          <w:iCs/>
          <w:color w:val="000000"/>
          <w:sz w:val="22"/>
          <w:szCs w:val="22"/>
        </w:rPr>
        <w:t xml:space="preserve">BMC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(Suppl 2, S12), 14 pp.</w:t>
      </w:r>
    </w:p>
    <w:p>
      <w:pPr>
        <w:widowControl w:val="on"/>
        <w:pBdr/>
        <w:spacing w:before="220" w:after="220" w:line="240" w:lineRule="auto"/>
        <w:ind w:left="0" w:right="0"/>
        <w:jc w:val="left"/>
      </w:pPr>
      <w:r>
        <w:rPr>
          <w:rFonts w:ascii="Calibri" w:hAnsi="Calibri" w:eastAsia="Calibri" w:cs="Calibri"/>
          <w:color w:val="000000"/>
          <w:sz w:val="22"/>
          <w:szCs w:val="22"/>
        </w:rPr>
        <w:t xml:space="preserve">Devescovi F, Abraham S, Roriz AKP, Nolazco N, Castañeda R, Tadeo E, Cáceres C, Segura DF, Vera MT, Joachim-Bravo I, Canal N, Rull J (2014) Ongoing speciation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The case of the Andean morphotype.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238–247. </w:t>
      </w:r>
    </w:p>
    <w:p>
      <w:pPr>
        <w:widowControl w:val="on"/>
        <w:pBdr/>
        <w:spacing w:before="220" w:after="220" w:line="240" w:lineRule="auto"/>
        <w:ind w:left="0" w:right="0"/>
        <w:jc w:val="left"/>
      </w:pPr>
      <w:r>
        <w:rPr>
          <w:rFonts w:ascii="Calibri" w:hAnsi="Calibri" w:eastAsia="Calibri" w:cs="Calibri"/>
          <w:color w:val="000000"/>
          <w:sz w:val="22"/>
          <w:szCs w:val="22"/>
        </w:rPr>
        <w:t xml:space="preserve">Dias VS, Hallman GJ, Cardoso AAS, Hurtado NV, Rivera C, Maxwell F, Cáceres-Barrios CE, Vreysen MJB, Myers SW (2020) Relative tolerance of three morphotypes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to cold phytosanitary treatment.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(3), 1176–1182.</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Vol.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Frías D, Hernández-Ortiz V, Vaccaro NC, Bartolucci AF, Salles LA (2006) Comparative morphology of immature stages of some frugivorous species of fruit flies (Diptera: Tephritidae).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35–36</w:t>
      </w:r>
      <w:r>
        <w:rPr>
          <w:rFonts w:ascii="Calibri" w:hAnsi="Calibri" w:eastAsia="Calibri" w:cs="Calibri"/>
          <w:color w:val="000000"/>
          <w:sz w:val="22"/>
          <w:szCs w:val="22"/>
        </w:rPr>
        <w:t xml:space="preserve">, 423–457.</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JD, Escobar JS, Cereceda G (1989) Collection of</w:t>
      </w:r>
      <w:r>
        <w:rPr>
          <w:rFonts w:ascii="Calibri" w:hAnsi="Calibri" w:eastAsia="Calibri" w:cs="Calibri"/>
          <w:i/>
          <w:iCs/>
          <w:color w:val="000000"/>
          <w:sz w:val="22"/>
          <w:szCs w:val="22"/>
        </w:rPr>
        <w:t xml:space="preserve"> Anastrepha fraterculus </w:t>
      </w:r>
      <w:r>
        <w:rPr>
          <w:rFonts w:ascii="Calibri" w:hAnsi="Calibri" w:eastAsia="Calibri" w:cs="Calibri"/>
          <w:color w:val="000000"/>
          <w:sz w:val="22"/>
          <w:szCs w:val="22"/>
        </w:rPr>
        <w:t xml:space="preserve">on Santa Cruz Island, Galapagos Province, Ecuador.</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205–206.</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Vera MT, De Meyer M, Clarke AR (2015) Resolving cryptic species complexes of major tephritid pests.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5–39.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 </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Bartolucci AF, Morales-Valles P, Frías D, Selivon D (2012)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A multivariate approach for the recognition of South American morphotypes.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305–318.</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Hernández-Ortiz V, Canal NA, Tigrero Salas JO, Ruíz-Hurtado,FM, Dzul-Cauich JF (2015) Taxonomy and phenotypic relationships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in the Mesoamerican and Pacific Neotropical dominions (Diptera, Tephritidae). In: Resolution of cryptic species complexes of tephritid pests to enhance SIT application and facilitate international trade (Ed. by De Meyer M, Clarke AR, Vera MT, Hendrichs J).</w:t>
      </w:r>
      <w:r>
        <w:rPr>
          <w:rFonts w:ascii="Calibri" w:hAnsi="Calibri" w:eastAsia="Calibri" w:cs="Calibri"/>
          <w:i/>
          <w:iCs/>
          <w:color w:val="000000"/>
          <w:sz w:val="22"/>
          <w:szCs w:val="22"/>
        </w:rPr>
        <w:t xml:space="preserve"> 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95–124. </w:t>
      </w:r>
    </w:p>
    <w:p>
      <w:pPr>
        <w:widowControl w:val="on"/>
        <w:pBdr/>
        <w:spacing w:before="220" w:after="220" w:line="240" w:lineRule="auto"/>
        <w:ind w:left="0" w:right="0"/>
        <w:jc w:val="left"/>
      </w:pPr>
      <w:r>
        <w:rPr>
          <w:rFonts w:ascii="Calibri" w:hAnsi="Calibri" w:eastAsia="Calibri" w:cs="Calibri"/>
          <w:color w:val="000000"/>
          <w:sz w:val="22"/>
          <w:szCs w:val="22"/>
        </w:rPr>
        <w:t xml:space="preserve">Molineros J, Tigrero JO, Sandoval D (1992) </w:t>
      </w:r>
      <w:r>
        <w:rPr>
          <w:rFonts w:ascii="Calibri" w:hAnsi="Calibri" w:eastAsia="Calibri" w:cs="Calibri"/>
          <w:i/>
          <w:iCs/>
          <w:color w:val="000000"/>
          <w:sz w:val="22"/>
          <w:szCs w:val="22"/>
        </w:rPr>
        <w:t xml:space="preserve">Diagnostico de la situacion actual del problema de las moscas de la fruta en el Ecuador</w:t>
      </w:r>
      <w:r>
        <w:rPr>
          <w:rFonts w:ascii="Calibri" w:hAnsi="Calibri" w:eastAsia="Calibri" w:cs="Calibri"/>
          <w:color w:val="000000"/>
          <w:sz w:val="22"/>
          <w:szCs w:val="22"/>
        </w:rPr>
        <w:t xml:space="preserve">. Comision Ecuatoriana de Energia Atomica, Direccion de Investigaciones, Quito. 53 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w:t>
      </w:r>
      <w:hyperlink r:id="rId4492680519afd58e6" w:history="1">
        <w:r>
          <w:rPr>
            <w:rFonts w:ascii="Calibri" w:hAnsi="Calibri" w:eastAsia="Calibri" w:cs="Calibri"/>
            <w:color w:val="0000CC"/>
            <w:sz w:val="22"/>
            <w:szCs w:val="22"/>
            <w:u w:val="single"/>
          </w:rPr>
          <w:t xml:space="preserve">https://www.delta-intkey.com/anatox/index.htm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Aluja M (2003) Native and introduced host plants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in northwestern Argentina.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96, 1108–1118. </w:t>
      </w:r>
    </w:p>
    <w:p>
      <w:pPr>
        <w:widowControl w:val="on"/>
        <w:pBdr/>
        <w:spacing w:before="220" w:after="220" w:line="240" w:lineRule="auto"/>
        <w:ind w:left="0" w:right="0"/>
        <w:jc w:val="left"/>
      </w:pPr>
      <w:r>
        <w:rPr>
          <w:rFonts w:ascii="Calibri" w:hAnsi="Calibri" w:eastAsia="Calibri" w:cs="Calibri"/>
          <w:color w:val="000000"/>
          <w:sz w:val="22"/>
          <w:szCs w:val="22"/>
        </w:rPr>
        <w:t xml:space="preserve">Ovruski, S.; Schliserman, P. (2012) Biological control of tephritid fruit flies in Argentina: Historical review, current status, and future trends for developing a parasitoid mass-release program.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870–888.</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EJ, Steck GJ, Moore MR, Norrbom AL, Sutton BD, Branham MA (2021) Description of larvae of </w:t>
      </w:r>
      <w:r>
        <w:rPr>
          <w:rFonts w:ascii="Calibri" w:hAnsi="Calibri" w:eastAsia="Calibri" w:cs="Calibri"/>
          <w:i/>
          <w:iCs/>
          <w:color w:val="000000"/>
          <w:sz w:val="22"/>
          <w:szCs w:val="22"/>
        </w:rPr>
        <w:t xml:space="preserve">Anastrepha amplidentata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durantae</w:t>
      </w:r>
      <w:r>
        <w:rPr>
          <w:rFonts w:ascii="Calibri" w:hAnsi="Calibri" w:eastAsia="Calibri" w:cs="Calibri"/>
          <w:color w:val="000000"/>
          <w:sz w:val="22"/>
          <w:szCs w:val="22"/>
        </w:rPr>
        <w:t xml:space="preserve"> with review of larval morphology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169–189. </w:t>
      </w:r>
    </w:p>
    <w:p>
      <w:pPr>
        <w:widowControl w:val="on"/>
        <w:pBdr/>
        <w:spacing w:before="220" w:after="220" w:line="240" w:lineRule="auto"/>
        <w:ind w:left="0" w:right="0"/>
        <w:jc w:val="left"/>
      </w:pPr>
      <w:r>
        <w:rPr>
          <w:rFonts w:ascii="Calibri" w:hAnsi="Calibri" w:eastAsia="Calibri" w:cs="Calibri"/>
          <w:color w:val="000000"/>
          <w:sz w:val="22"/>
          <w:szCs w:val="22"/>
        </w:rPr>
        <w:t xml:space="preserve">Rodríguez Clavijo PA, Arévalo Peñaranda E (2015) </w:t>
      </w:r>
      <w:r>
        <w:rPr>
          <w:rFonts w:ascii="Calibri" w:hAnsi="Calibri" w:eastAsia="Calibri" w:cs="Calibri"/>
          <w:i/>
          <w:iCs/>
          <w:color w:val="000000"/>
          <w:sz w:val="22"/>
          <w:szCs w:val="22"/>
        </w:rPr>
        <w:t xml:space="preserve">Las moscas de la fruta de importancia economica en Colombia</w:t>
      </w:r>
      <w:r>
        <w:rPr>
          <w:rFonts w:ascii="Calibri" w:hAnsi="Calibri" w:eastAsia="Calibri" w:cs="Calibri"/>
          <w:color w:val="000000"/>
          <w:sz w:val="22"/>
          <w:szCs w:val="22"/>
        </w:rPr>
        <w:t xml:space="preserve">. Boletín Técnico del Instituto Colombiano Agropecuario, 58 pp.</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Science Publishers, Amsterdam. xii + 372 p.</w:t>
      </w:r>
    </w:p>
    <w:p>
      <w:pPr>
        <w:widowControl w:val="on"/>
        <w:pBdr/>
        <w:spacing w:before="220" w:after="220" w:line="240" w:lineRule="auto"/>
        <w:ind w:left="0" w:right="0"/>
        <w:jc w:val="left"/>
      </w:pPr>
      <w:r>
        <w:rPr>
          <w:rFonts w:ascii="Calibri" w:hAnsi="Calibri" w:eastAsia="Calibri" w:cs="Calibri"/>
          <w:color w:val="000000"/>
          <w:sz w:val="22"/>
          <w:szCs w:val="22"/>
        </w:rPr>
        <w:t xml:space="preserve">Rull J, Abraham S, Kovaleski A, Segura DF, Mendoza M, Liendo MC, Vera MT (2013) Evolution of pre-zygotic and post-zygotic barriers to gene flow among three cryptic species within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213–222.</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Carvalho FLC (1993) [Emergence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during the autumn and winter in Pelotas - RS.]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63–69.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(1995) </w:t>
      </w:r>
      <w:r>
        <w:rPr>
          <w:rFonts w:ascii="Calibri" w:hAnsi="Calibri" w:eastAsia="Calibri" w:cs="Calibri"/>
          <w:i/>
          <w:iCs/>
          <w:color w:val="000000"/>
          <w:sz w:val="22"/>
          <w:szCs w:val="22"/>
        </w:rPr>
        <w:t xml:space="preserve">Bioecologia e controle da mosca-das-frutas sul-americana</w:t>
      </w:r>
      <w:r>
        <w:rPr>
          <w:rFonts w:ascii="Calibri" w:hAnsi="Calibri" w:eastAsia="Calibri" w:cs="Calibri"/>
          <w:color w:val="000000"/>
          <w:sz w:val="22"/>
          <w:szCs w:val="22"/>
        </w:rPr>
        <w:t xml:space="preserve">. Empresa Brasileira de Pesquisa Agropecuária, Centro de Pesquisa Agropecuária de Clima Temperado, Pelotas. 58 pp.</w:t>
      </w:r>
    </w:p>
    <w:p>
      <w:pPr>
        <w:widowControl w:val="on"/>
        <w:pBdr/>
        <w:spacing w:before="220" w:after="220" w:line="240" w:lineRule="auto"/>
        <w:ind w:left="0" w:right="0"/>
        <w:jc w:val="left"/>
      </w:pPr>
      <w:r>
        <w:rPr>
          <w:rFonts w:ascii="Calibri" w:hAnsi="Calibri" w:eastAsia="Calibri" w:cs="Calibri"/>
          <w:color w:val="000000"/>
          <w:sz w:val="22"/>
          <w:szCs w:val="22"/>
        </w:rPr>
        <w:t xml:space="preserve">Salles,LAB (1995) [Toxic bait for the control of adults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Anais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153-157. </w:t>
      </w:r>
    </w:p>
    <w:p>
      <w:pPr>
        <w:widowControl w:val="on"/>
        <w:pBdr/>
        <w:spacing w:before="220" w:after="220" w:line="240" w:lineRule="auto"/>
        <w:ind w:left="0" w:right="0"/>
        <w:jc w:val="left"/>
      </w:pPr>
      <w:r>
        <w:rPr>
          <w:rFonts w:ascii="Calibri" w:hAnsi="Calibri" w:eastAsia="Calibri" w:cs="Calibri"/>
          <w:color w:val="000000"/>
          <w:sz w:val="22"/>
          <w:szCs w:val="22"/>
        </w:rPr>
        <w:t xml:space="preserve">Salles LAB (2000) Biologia e ciclo de vida de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(Wied.). In: Moscas-das-frutas de importância econômica no Brasil. Conhecimento básico e aplicado (Ed. by Malavasi,A, Zucchi RA), pp. 81–86. Holos, Riberão Preto, 327 pp.</w:t>
      </w:r>
    </w:p>
    <w:p>
      <w:pPr>
        <w:widowControl w:val="on"/>
        <w:pBdr/>
        <w:spacing w:before="220" w:after="220" w:line="240" w:lineRule="auto"/>
        <w:ind w:left="0" w:right="0"/>
        <w:jc w:val="left"/>
      </w:pPr>
      <w:r>
        <w:rPr>
          <w:rFonts w:ascii="Calibri" w:hAnsi="Calibri" w:eastAsia="Calibri" w:cs="Calibri"/>
          <w:color w:val="000000"/>
          <w:sz w:val="22"/>
          <w:szCs w:val="22"/>
        </w:rPr>
        <w:t xml:space="preserve">Segura DF, Vera MT, Cagniotti CL, Vaccaro N, Coll O de,Ovruski SM, Cladera JL (2006) Relative abundance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diverse host species and localities of Argentina.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70–83. </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Perondini ALP (1998) Eggshell morphology in two cryptic species of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complex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473–478.</w:t>
      </w:r>
    </w:p>
    <w:p>
      <w:pPr>
        <w:widowControl w:val="on"/>
        <w:pBdr/>
        <w:spacing w:before="220" w:after="220" w:line="240" w:lineRule="auto"/>
        <w:ind w:left="0" w:right="0"/>
        <w:jc w:val="left"/>
      </w:pPr>
      <w:r>
        <w:rPr>
          <w:rFonts w:ascii="Calibri" w:hAnsi="Calibri" w:eastAsia="Calibri" w:cs="Calibri"/>
          <w:color w:val="000000"/>
          <w:sz w:val="22"/>
          <w:szCs w:val="22"/>
        </w:rPr>
        <w:t xml:space="preserve">Selivon D, Vretos C, Perondini ALP (2003) Evaluation of egg morphology from ethanol preserved females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sp.2 aff.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527–529.</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(1991) Biochemical systematics and population genetic structure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and related species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10–28.</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Rodriguez EJ, Norrbom AL, Dutra VS, Ronchi-Teles B, Silva JG (2019) Review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immature stage taxonomy. In: Area-wide management of fruit fly pests (Ed. by Pérez-Staples, D.; Díaz-Fleischer, F.; Montoya, P; Vera, M.T.), p. 57-88. CRC Press, Boca Raton, i-xxviii + 412 pp.</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BD, Steck GJ, Norrbom AL, Rodriguez EJ, Srivastava P, Nolazco Alvarado N, Colque F, Yábar Landa E, Lagrava Sánchez JJ, Quisberth E, Arévalo Peñaranda E, Rodriguez Clavijo PA, Alvarez-Baca JK, Guevara Zapata T, Ponce P (2015) Nuclear ribosomal internal transcribed spacer 1 (ITS1) variation in the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cryptic species complex (Diptera, Tephritidae) of the Andean region.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175–191.</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Vaníčková L, Hernández-Ortiz V, Bravo ISJ, Dias V, Roriz AKP, Laumann RA, Mendonça AL, Paranhos BAJ, Nascimento RR do (2015) Current knowledge of the species complex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in Brazil. In: Resolution of cryptic species complexes of tephritid pests to enhance SIT application and facilitate international trade (Ed. by De Meyer M, Clarke AR, Vera MT, Hendrichs J).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211–237.</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Cáceres C, Wornoayporn V, Islam A, Robinson AR, Vega MH de la, Hendrichs J, Cayol JP (2006) Mating incompatibility among populations of the South American fruit fly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Allen L. Norrbom.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EPPO datasheets on pests recommended for regulation. Available online. </w:t>
      </w:r>
      <w:hyperlink r:id="rId2998680519afd63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015680519afd64d6"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9715064" name="name4337680519afd655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36680519afd65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030912">
    <w:multiLevelType w:val="hybridMultilevel"/>
    <w:lvl w:ilvl="0" w:tplc="86396236">
      <w:start w:val="1"/>
      <w:numFmt w:val="decimal"/>
      <w:lvlText w:val="%1."/>
      <w:lvlJc w:val="left"/>
      <w:pPr>
        <w:ind w:left="720" w:hanging="360"/>
      </w:pPr>
    </w:lvl>
    <w:lvl w:ilvl="1" w:tplc="86396236" w:tentative="1">
      <w:start w:val="1"/>
      <w:numFmt w:val="lowerLetter"/>
      <w:lvlText w:val="%2."/>
      <w:lvlJc w:val="left"/>
      <w:pPr>
        <w:ind w:left="1440" w:hanging="360"/>
      </w:pPr>
    </w:lvl>
    <w:lvl w:ilvl="2" w:tplc="86396236" w:tentative="1">
      <w:start w:val="1"/>
      <w:numFmt w:val="lowerRoman"/>
      <w:lvlText w:val="%3."/>
      <w:lvlJc w:val="right"/>
      <w:pPr>
        <w:ind w:left="2160" w:hanging="180"/>
      </w:pPr>
    </w:lvl>
    <w:lvl w:ilvl="3" w:tplc="86396236" w:tentative="1">
      <w:start w:val="1"/>
      <w:numFmt w:val="decimal"/>
      <w:lvlText w:val="%4."/>
      <w:lvlJc w:val="left"/>
      <w:pPr>
        <w:ind w:left="2880" w:hanging="360"/>
      </w:pPr>
    </w:lvl>
    <w:lvl w:ilvl="4" w:tplc="86396236" w:tentative="1">
      <w:start w:val="1"/>
      <w:numFmt w:val="lowerLetter"/>
      <w:lvlText w:val="%5."/>
      <w:lvlJc w:val="left"/>
      <w:pPr>
        <w:ind w:left="3600" w:hanging="360"/>
      </w:pPr>
    </w:lvl>
    <w:lvl w:ilvl="5" w:tplc="86396236" w:tentative="1">
      <w:start w:val="1"/>
      <w:numFmt w:val="lowerRoman"/>
      <w:lvlText w:val="%6."/>
      <w:lvlJc w:val="right"/>
      <w:pPr>
        <w:ind w:left="4320" w:hanging="180"/>
      </w:pPr>
    </w:lvl>
    <w:lvl w:ilvl="6" w:tplc="86396236" w:tentative="1">
      <w:start w:val="1"/>
      <w:numFmt w:val="decimal"/>
      <w:lvlText w:val="%7."/>
      <w:lvlJc w:val="left"/>
      <w:pPr>
        <w:ind w:left="5040" w:hanging="360"/>
      </w:pPr>
    </w:lvl>
    <w:lvl w:ilvl="7" w:tplc="86396236" w:tentative="1">
      <w:start w:val="1"/>
      <w:numFmt w:val="lowerLetter"/>
      <w:lvlText w:val="%8."/>
      <w:lvlJc w:val="left"/>
      <w:pPr>
        <w:ind w:left="5760" w:hanging="360"/>
      </w:pPr>
    </w:lvl>
    <w:lvl w:ilvl="8" w:tplc="86396236" w:tentative="1">
      <w:start w:val="1"/>
      <w:numFmt w:val="lowerRoman"/>
      <w:lvlText w:val="%9."/>
      <w:lvlJc w:val="right"/>
      <w:pPr>
        <w:ind w:left="6480" w:hanging="180"/>
      </w:pPr>
    </w:lvl>
  </w:abstractNum>
  <w:abstractNum w:abstractNumId="75030911">
    <w:multiLevelType w:val="hybridMultilevel"/>
    <w:lvl w:ilvl="0" w:tplc="829103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030911">
    <w:abstractNumId w:val="75030911"/>
  </w:num>
  <w:num w:numId="75030912">
    <w:abstractNumId w:val="750309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5718075" Type="http://schemas.microsoft.com/office/2011/relationships/commentsExtended" Target="commentsExtended.xml"/><Relationship Id="rId573128888" Type="http://schemas.microsoft.com/office/2011/relationships/people" Target="people.xml"/><Relationship Id="rId5352680519afd0f32" Type="http://schemas.openxmlformats.org/officeDocument/2006/relationships/hyperlink" Target="https://gd.eppo.int/taxon/ANSTFR/" TargetMode="External"/><Relationship Id="rId9828680519afd0fa2" Type="http://schemas.openxmlformats.org/officeDocument/2006/relationships/hyperlink" Target="https://gd.eppo.int/taxon/ANSTFR/categorization" TargetMode="External"/><Relationship Id="rId7528680519afd538f" Type="http://schemas.openxmlformats.org/officeDocument/2006/relationships/hyperlink" Target="https://www.delta-intkey.com/ffl/index.htm" TargetMode="External"/><Relationship Id="rId4492680519afd58e6" Type="http://schemas.openxmlformats.org/officeDocument/2006/relationships/hyperlink" Target="https://www.delta-intkey.com/anatox/index.htm" TargetMode="External"/><Relationship Id="rId2998680519afd6382" Type="http://schemas.openxmlformats.org/officeDocument/2006/relationships/hyperlink" Target="https://gd.eppo.int" TargetMode="External"/><Relationship Id="rId2015680519afd64d6" Type="http://schemas.openxmlformats.org/officeDocument/2006/relationships/hyperlink" Target="https://doi.org/10.1111/j.1365-2338.1983.tb01715.x" TargetMode="External"/><Relationship Id="rId6697680519afd3e2f" Type="http://schemas.openxmlformats.org/officeDocument/2006/relationships/image" Target="media/imgrId6697680519afd3e2f.jpg"/><Relationship Id="rId4236680519afd6550" Type="http://schemas.openxmlformats.org/officeDocument/2006/relationships/image" Target="media/imgrId4236680519afd65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