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ludens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ludens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ludens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lathana</w:t>
            </w:r>
            <w:r>
              <w:rPr>
                <w:rFonts w:ascii="Calibri" w:hAnsi="Calibri" w:eastAsia="Calibri" w:cs="Calibri"/>
                <w:color w:val="000000"/>
                <w:position w:val="-3"/>
                <w:sz w:val="22"/>
                <w:szCs w:val="22"/>
              </w:rPr>
              <w:t xml:space="preserve"> Stone, </w:t>
            </w:r>
            <w:r>
              <w:rPr>
                <w:rFonts w:ascii="Calibri" w:hAnsi="Calibri" w:eastAsia="Calibri" w:cs="Calibri"/>
                <w:i/>
                <w:iCs/>
                <w:color w:val="000000"/>
                <w:position w:val="-3"/>
                <w:sz w:val="22"/>
                <w:szCs w:val="22"/>
              </w:rPr>
              <w:t xml:space="preserve">Trypeta ludens</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fruit fly</w:t>
            </w:r>
            <w:hyperlink r:id="rId7953676c512a03fd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64676c512a0404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ANSTLU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351553" name="name3139676c512a04a71" descr="1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5.jpg"/>
                          <pic:cNvPicPr/>
                        </pic:nvPicPr>
                        <pic:blipFill>
                          <a:blip r:embed="rId3910676c512a04a66" cstate="print"/>
                          <a:stretch>
                            <a:fillRect/>
                          </a:stretch>
                        </pic:blipFill>
                        <pic:spPr>
                          <a:xfrm>
                            <a:off x="0" y="0"/>
                            <a:ext cx="2160000" cy="1281600"/>
                          </a:xfrm>
                          <a:prstGeom prst="rect">
                            <a:avLst/>
                          </a:prstGeom>
                          <a:ln w="0">
                            <a:noFill/>
                          </a:ln>
                        </pic:spPr>
                      </pic:pic>
                    </a:graphicData>
                  </a:graphic>
                </wp:inline>
              </w:drawing>
            </w:r>
            <w:hyperlink r:id="rId4467676c512a04d0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in 1873 by Loew as </w:t>
      </w:r>
      <w:r>
        <w:rPr>
          <w:rFonts w:ascii="Calibri" w:hAnsi="Calibri" w:eastAsia="Calibri" w:cs="Calibri"/>
          <w:i/>
          <w:iCs/>
          <w:color w:val="000000"/>
          <w:sz w:val="22"/>
          <w:szCs w:val="22"/>
        </w:rPr>
        <w:t xml:space="preserve">Trypeta ludens</w:t>
      </w:r>
      <w:r>
        <w:rPr>
          <w:rFonts w:ascii="Calibri" w:hAnsi="Calibri" w:eastAsia="Calibri" w:cs="Calibri"/>
          <w:color w:val="000000"/>
          <w:sz w:val="22"/>
          <w:szCs w:val="22"/>
        </w:rPr>
        <w:t xml:space="preserve">. The current combination was proposed by Wulp (1900). The name </w:t>
      </w:r>
      <w:r>
        <w:rPr>
          <w:rFonts w:ascii="Calibri" w:hAnsi="Calibri" w:eastAsia="Calibri" w:cs="Calibri"/>
          <w:i/>
          <w:iCs/>
          <w:color w:val="000000"/>
          <w:sz w:val="22"/>
          <w:szCs w:val="22"/>
        </w:rPr>
        <w:t xml:space="preserve">Anastrepha lathana</w:t>
      </w:r>
      <w:r>
        <w:rPr>
          <w:rFonts w:ascii="Calibri" w:hAnsi="Calibri" w:eastAsia="Calibri" w:cs="Calibri"/>
          <w:color w:val="000000"/>
          <w:sz w:val="22"/>
          <w:szCs w:val="22"/>
        </w:rPr>
        <w:t xml:space="preserve"> Stone is considered a synonym. Name, host plant, and distribution data for this species and other fruit flies are available under Fruit Fly Databases on the </w:t>
      </w:r>
      <w:hyperlink r:id="rId7522676c512a05043"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various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and oranges, are the most important commercial hosts (Hernandez-Ortiz, 1992)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various other fruit crops are attacked less frequently, but more than 40 plant species are reported as at least occasional field hosts of this polyphagous pest (Norrbom, 2004). Thomas (2004) provides an example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adaptive capability to infest new host plants, describing the discovery of the introduced manzano pepper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as an unexpected new host in Mexico. Nearly all of the commercial hosts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exotic.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(Rutaceae) to be the only native wild host, although three other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spp.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several other wild native plants could also have been original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liebmanniana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from Northeastern Mexico south to Panama. In Mexico there are fly free areas in Baja California and Northwestern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Frequent incursions are detected in the Rio Grande Valley of Texas in the USA and are subjected to eradication. Outbreaks have also occurred in California and less commonly in Arizona but have been eradicated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occasionally trapped in other states of the USA (e.g., Florida) and in other countries, but it is not established there. The record of this species from Colombia (Núñez Bueno, 1981) was based on misidentification of </w:t>
      </w:r>
      <w:r>
        <w:rPr>
          <w:rFonts w:ascii="Calibri" w:hAnsi="Calibri" w:eastAsia="Calibri" w:cs="Calibri"/>
          <w:i/>
          <w:iCs/>
          <w:color w:val="000000"/>
          <w:sz w:val="22"/>
          <w:szCs w:val="22"/>
        </w:rPr>
        <w:t xml:space="preserve">Anastrepha manizaliensis</w:t>
      </w:r>
      <w:r>
        <w:rPr>
          <w:rFonts w:ascii="Calibri" w:hAnsi="Calibri" w:eastAsia="Calibri" w:cs="Calibri"/>
          <w:color w:val="000000"/>
          <w:sz w:val="22"/>
          <w:szCs w:val="22"/>
        </w:rPr>
        <w:t xml:space="preserve">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There are no valid reports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from Colombia.</w:t>
      </w:r>
    </w:p>
    <w:p>
      <w:pPr>
        <w:widowControl w:val="on"/>
        <w:pBdr/>
        <w:spacing w:before="220" w:after="220" w:line="240" w:lineRule="auto"/>
        <w:ind w:left="0" w:right="0"/>
        <w:jc w:val="both"/>
      </w:pPr>
      <w:r>
        <w:rPr>
          <w:rFonts w:ascii="Calibri" w:hAnsi="Calibri" w:eastAsia="Calibri" w:cs="Calibri"/>
          <w:color w:val="000000"/>
          <w:sz w:val="22"/>
          <w:szCs w:val="22"/>
        </w:rPr>
        <w:t xml:space="preserve">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this species to be native only to northeastern Mexico, but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did not support that hypothesis, the latter finding higher genetic diversity in populations in southern Mexico and Central America.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identified four populations (Western Mexico, Eastern Mexico, Guatemala/Belize/Honduras, and Costa Rica/Panama) but found significant intergradation and could not identify an ancestral range.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was rare in Costa Rica and was not a pest of citrus prior to the mid-1990s, when it suddenly became common in the central highlands and was found attacking orange and grapefruit, including at a research station where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had worked extensively and had not found it attacking these fruits. It has subsequently been detected in western and central Panama, where it is invasive. This suggests that there was an introduction of a northern population into Costa Rica leading to the spread of this species into Panama. </w:t>
      </w:r>
    </w:p>
    <w:p>
      <w:r>
        <w:drawing>
          <wp:inline distT="0" distB="0" distL="0" distR="0">
            <wp:extent cx="6120000" cy="3067200"/>
            <wp:docPr id="22792143" name="name2174676c512a06ea4" descr="ANSTL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LU_distribution_map.jpg"/>
                    <pic:cNvPicPr/>
                  </pic:nvPicPr>
                  <pic:blipFill>
                    <a:blip r:embed="rId2419676c512a06e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in the case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these are laid singly or in clutches of up to 40 eggs, with clutch size related to fruit size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Development time for eggs has been reported as 3 days to as long as 6-12 days; larvae pass through three instars, with development time varying from 8–30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feed in the albedo or pulp of commercial fruits but can feed on the seeds of native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hosts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Adults emerge after 12 to 32 days, depending upon temperature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can be long lived, up to a year under certain conditions, and occur throughout the year (Christenson &amp; Foote, 1960, Aluja, 1994). Adult males produce a pheromone and lek to attract females for mating. Calling occurs in late afternoon, with mating at dusk (Aluja, 1994;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 third stage larva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usually be distinguished from those of most of the other economically important species of the genus using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include 13 or 15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respectively. Carroll and Wharton (1989) provided a detailed description of the egg, larva (all 3 instars), and puparium, and Heppner (1984), and White and Elson-Harris (1992) also provided descriptions of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11.1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and Wharton (1989) and White and Elson-Harris (1994): Length 5.8-11.1 mm; width 1.2-2.5 mm. Head: Stomal sensory organ large, rounded, with 5 small sensilla; 11-17 oral ridges with margins entire or slightly undulant; accessory plates small; mandible moderately sclerotized, with single large slender curved apical tooth. Thoracic and abdominal segments: T1-T3 middorsally with 4-6, 3-5, and 1-2 rows of spinules, respectively; A1-A8 without dorsal spinules medially; creeping welt on A1 with 7-9 rows of spinules, those on A2-A8 with 9-17 rows; A8 with intermediate lobes moderately developed; caudal segment with tubercles and sensilla small but obvious. Anterior spiracle with 12-21 tubules. Posterior spiracle with spiracular slits about 3.5 times as long as broad, with moderately sclerotised rimae; spiracular hairs short (about one-third to one-fifth length of spiracular slit), often branched on apical third; dorsal and ventral bundles of 6-13 hairs, lateral bundles of 4-7 hairs. Anal area with lobes large, protuberant, usually distinctly bifid; surrounded by 3-4 discontinuous rows of small spinules.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1.37-1.60 mm long, at greatest width 0.18-0.21 mm; white, spindle-shaped, broad anteriorly, tapering posteriorly; micropyle slightly to one side of apex of anterior pole; faint reticulation near micropyle consisting primarily of irregular pentagons and hexagons, these becoming very faint and elongated on posterior portion of egg; distinct openings into chorion at vertices of polygons on anterior end (Carroll and Wharton,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scutellum entirely white or yellow except extreme base; subscutellum (lens-shaped sclerite below scutellum) orange medially, dark brown laterally, brown markings often extending ventrally onto mediotergite;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usually connected, occasionally separated; oviscape (in female) entirely yellow to orange brown, 3.54–6.17 mm long, oviscape length/mesonotum length 1.1–1.55; aculeus length 3.37–5.76 mm; aculeus tip length 0.28–0.42 mm; phallus length 5.2–6.1 mm; phallus (in male) length/mesonotum length 1.51–1.81.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examined its genetic diversity and population structure using two mitochondrial genes (COI and ND6), and more recently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genomic data, analyzed its population structure and developed a set of diagnostic single nucleotide polymorphisms (SNPs) for source determination.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and adult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have been reported to fly as far as 135 km (Aluja, 1994). Natural movement is therefore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minor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considered the most important fruit fly pest in Mexico and Central America, especially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mango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(Bateman, 1982; Roessler, 1989;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Classical biological control was tried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Texas (USA), but introduced parasitoids had little impact (Wharton, 1989). However,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has been used effectively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southern Texas and northern Mexico for suppression and eradication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it is used in area-wide management programs to control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broad range of hosts and is a major pest throughout its range. It occurs in higher, more temperate areas of Central America and Mexico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it may pose a higher risk of establishment in other subtropical areas of the world than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It is invasive at least in Panama and has been trapped in California and other states in the USA.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limited to the warmer southern parts of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this pest occurs should be inspected for symptoms of infestation and those suspected should be cut open in order to look for larvae. Such fruits should come from an area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in transit by cold treatment (e.g., 18, 20 or 22 days at 0.5, 1 or 1.5°C, respectively) or, for certain types of fruits, by hot water treatment (for mango, 46°C for 65 to 110 minutes depending on fruit size) or by vapour heat (e.g., keeping at 43°C for 4-6 h) (USDA, 2020), or forced hot-air treatment (Mangan &amp; Ingle, 1994).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(1994) Bionomics and management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39, 155-178. </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pp. 192-213. CAB International, Wallingford,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In: Invasive Species Compendium. Wallingford, UK: CAB International. </w:t>
      </w:r>
      <w:hyperlink r:id="rId2450676c512a08168" w:history="1">
        <w:r>
          <w:rPr>
            <w:rFonts w:ascii="Calibri" w:hAnsi="Calibri" w:eastAsia="Calibri" w:cs="Calibri"/>
            <w:color w:val="0000CC"/>
            <w:sz w:val="22"/>
            <w:szCs w:val="22"/>
            <w:u w:val="single"/>
          </w:rPr>
          <w:t xml:space="preserve">www.cabi.org/isc</w:t>
        </w:r>
      </w:hyperlink>
      <w:r>
        <w:rPr>
          <w:rFonts w:ascii="Calibri" w:hAnsi="Calibri" w:eastAsia="Calibri" w:cs="Calibri"/>
          <w:color w:val="000000"/>
          <w:sz w:val="22"/>
          <w:szCs w:val="22"/>
        </w:rPr>
        <w:t xml:space="preserve">.Carroll LE, Wharton RA (1989) Morphology of the immature stages of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201-214.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https://www.delta-intkey.com/ffl/index.htm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Ruiz‐Arce R, Barr NB, Thomas DB, Geib SM (2019) Range‐wide population genomics of the Mexican fruit fly: Toward development of pathway analysis tools.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1641–1660.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Eskafi FM (1988) Infestation of citrus by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high coastal plains of Guatemala.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52-58. </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(1984) Larvae of fruit flies. I.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(Mexican fruit fly) and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(Caribbean fruit fly) (Diptera: Tephritidae). </w:t>
      </w:r>
      <w:r>
        <w:rPr>
          <w:rFonts w:ascii="Calibri" w:hAnsi="Calibri" w:eastAsia="Calibri" w:cs="Calibri"/>
          <w:i/>
          <w:iCs/>
          <w:color w:val="000000"/>
          <w:sz w:val="22"/>
          <w:szCs w:val="22"/>
        </w:rPr>
        <w:t xml:space="preserve">Entomology Circular, Division of Plant Industry, Florida Department of Agricultural and Consumer Services</w:t>
      </w:r>
      <w:r>
        <w:rPr>
          <w:rFonts w:ascii="Calibri" w:hAnsi="Calibri" w:eastAsia="Calibri" w:cs="Calibri"/>
          <w:color w:val="000000"/>
          <w:sz w:val="22"/>
          <w:szCs w:val="22"/>
        </w:rPr>
        <w:t xml:space="preserve"> No. 260.</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(1994) Forced hot-air quarantine treatment for grapefruit infested with Mexican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1574-1579.</w:t>
      </w:r>
    </w:p>
    <w:p>
      <w:pPr>
        <w:widowControl w:val="on"/>
        <w:pBdr/>
        <w:spacing w:before="220" w:after="220" w:line="240" w:lineRule="auto"/>
        <w:ind w:left="0" w:right="0"/>
        <w:jc w:val="left"/>
      </w:pPr>
      <w:r>
        <w:rPr>
          <w:rFonts w:ascii="Calibri" w:hAnsi="Calibri" w:eastAsia="Calibri" w:cs="Calibri"/>
          <w:color w:val="000000"/>
          <w:sz w:val="22"/>
          <w:szCs w:val="22"/>
        </w:rPr>
        <w:t xml:space="preserve">McCombs SD, McGovern TE, Reyes-Flores J, de los Santos Ramos M, Gersabeck EF (2010) Final report, Animal and Plant Health Inspection Service United States and Mexico Lower Rio Grande Valley Mexican fruit fly eradication program review. United States Department of Agriculture, Animal and Plant Health Inspection Service, 128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https://www.delta-intkey.com/anatox/index.htm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Moscas de la fruta: Fundamentos y procedimientos para su manejo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Owen CL, Thomas DB, Barr NB, McPheron BA (2015) Phylogeographic structure in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populations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1324-1336.</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92,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EPPO datasheets on pests recommended for regulation. Available online. </w:t>
      </w:r>
      <w:hyperlink r:id="rId7211676c512a089d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1086676c512a08b28"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56830322" name="name4635676c512a08ba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33676c512a08b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338022">
    <w:multiLevelType w:val="hybridMultilevel"/>
    <w:lvl w:ilvl="0" w:tplc="55147103">
      <w:start w:val="1"/>
      <w:numFmt w:val="decimal"/>
      <w:lvlText w:val="%1."/>
      <w:lvlJc w:val="left"/>
      <w:pPr>
        <w:ind w:left="720" w:hanging="360"/>
      </w:pPr>
    </w:lvl>
    <w:lvl w:ilvl="1" w:tplc="55147103" w:tentative="1">
      <w:start w:val="1"/>
      <w:numFmt w:val="lowerLetter"/>
      <w:lvlText w:val="%2."/>
      <w:lvlJc w:val="left"/>
      <w:pPr>
        <w:ind w:left="1440" w:hanging="360"/>
      </w:pPr>
    </w:lvl>
    <w:lvl w:ilvl="2" w:tplc="55147103" w:tentative="1">
      <w:start w:val="1"/>
      <w:numFmt w:val="lowerRoman"/>
      <w:lvlText w:val="%3."/>
      <w:lvlJc w:val="right"/>
      <w:pPr>
        <w:ind w:left="2160" w:hanging="180"/>
      </w:pPr>
    </w:lvl>
    <w:lvl w:ilvl="3" w:tplc="55147103" w:tentative="1">
      <w:start w:val="1"/>
      <w:numFmt w:val="decimal"/>
      <w:lvlText w:val="%4."/>
      <w:lvlJc w:val="left"/>
      <w:pPr>
        <w:ind w:left="2880" w:hanging="360"/>
      </w:pPr>
    </w:lvl>
    <w:lvl w:ilvl="4" w:tplc="55147103" w:tentative="1">
      <w:start w:val="1"/>
      <w:numFmt w:val="lowerLetter"/>
      <w:lvlText w:val="%5."/>
      <w:lvlJc w:val="left"/>
      <w:pPr>
        <w:ind w:left="3600" w:hanging="360"/>
      </w:pPr>
    </w:lvl>
    <w:lvl w:ilvl="5" w:tplc="55147103" w:tentative="1">
      <w:start w:val="1"/>
      <w:numFmt w:val="lowerRoman"/>
      <w:lvlText w:val="%6."/>
      <w:lvlJc w:val="right"/>
      <w:pPr>
        <w:ind w:left="4320" w:hanging="180"/>
      </w:pPr>
    </w:lvl>
    <w:lvl w:ilvl="6" w:tplc="55147103" w:tentative="1">
      <w:start w:val="1"/>
      <w:numFmt w:val="decimal"/>
      <w:lvlText w:val="%7."/>
      <w:lvlJc w:val="left"/>
      <w:pPr>
        <w:ind w:left="5040" w:hanging="360"/>
      </w:pPr>
    </w:lvl>
    <w:lvl w:ilvl="7" w:tplc="55147103" w:tentative="1">
      <w:start w:val="1"/>
      <w:numFmt w:val="lowerLetter"/>
      <w:lvlText w:val="%8."/>
      <w:lvlJc w:val="left"/>
      <w:pPr>
        <w:ind w:left="5760" w:hanging="360"/>
      </w:pPr>
    </w:lvl>
    <w:lvl w:ilvl="8" w:tplc="55147103" w:tentative="1">
      <w:start w:val="1"/>
      <w:numFmt w:val="lowerRoman"/>
      <w:lvlText w:val="%9."/>
      <w:lvlJc w:val="right"/>
      <w:pPr>
        <w:ind w:left="6480" w:hanging="180"/>
      </w:pPr>
    </w:lvl>
  </w:abstractNum>
  <w:abstractNum w:abstractNumId="80338021">
    <w:multiLevelType w:val="hybridMultilevel"/>
    <w:lvl w:ilvl="0" w:tplc="261353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338021">
    <w:abstractNumId w:val="80338021"/>
  </w:num>
  <w:num w:numId="80338022">
    <w:abstractNumId w:val="803380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6153822" Type="http://schemas.microsoft.com/office/2011/relationships/commentsExtended" Target="commentsExtended.xml"/><Relationship Id="rId136152848" Type="http://schemas.microsoft.com/office/2011/relationships/people" Target="people.xml"/><Relationship Id="rId7953676c512a03fd7" Type="http://schemas.openxmlformats.org/officeDocument/2006/relationships/hyperlink" Target="https://gd.eppo.int/taxon/ANSTLU/" TargetMode="External"/><Relationship Id="rId4564676c512a04044" Type="http://schemas.openxmlformats.org/officeDocument/2006/relationships/hyperlink" Target="https://gd.eppo.int/taxon/ANSTLU/categorization" TargetMode="External"/><Relationship Id="rId4467676c512a04d0c" Type="http://schemas.openxmlformats.org/officeDocument/2006/relationships/hyperlink" Target="https://gd.eppo.int/taxon/ANSTLU/photos" TargetMode="External"/><Relationship Id="rId7522676c512a05043" Type="http://schemas.openxmlformats.org/officeDocument/2006/relationships/hyperlink" Target="https://coffhi.cphst.org/" TargetMode="External"/><Relationship Id="rId2450676c512a08168" Type="http://schemas.openxmlformats.org/officeDocument/2006/relationships/hyperlink" Target="http://www.cabi.org/isc" TargetMode="External"/><Relationship Id="rId7211676c512a089d3" Type="http://schemas.openxmlformats.org/officeDocument/2006/relationships/hyperlink" Target="https://gd.eppo.int" TargetMode="External"/><Relationship Id="rId1086676c512a08b28" Type="http://schemas.openxmlformats.org/officeDocument/2006/relationships/hyperlink" Target="https://doi.org/10.1111/j.1365-2338.1983.tb01715.x" TargetMode="External"/><Relationship Id="rId3910676c512a04a66" Type="http://schemas.openxmlformats.org/officeDocument/2006/relationships/image" Target="media/imgrId3910676c512a04a66.jpg"/><Relationship Id="rId2419676c512a06e9f" Type="http://schemas.openxmlformats.org/officeDocument/2006/relationships/image" Target="media/imgrId2419676c512a06e9f.jpg"/><Relationship Id="rId7433676c512a08ba2" Type="http://schemas.openxmlformats.org/officeDocument/2006/relationships/image" Target="media/imgrId7433676c512a08b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