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obliqua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obliqua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Anastrepha fraterculus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fraterculus var. ligata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Anastrepha fraterculus var. mombinpraeoptans</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Anastrepha trinidadensis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Tephritis obliqua</w:t>
            </w:r>
            <w:r>
              <w:rPr>
                <w:rFonts w:ascii="Calibri" w:hAnsi="Calibri" w:eastAsia="Calibri" w:cs="Calibri"/>
                <w:color w:val="000000"/>
                <w:position w:val="-3"/>
                <w:sz w:val="22"/>
                <w:szCs w:val="22"/>
              </w:rPr>
              <w:t xml:space="preserve"> Macquart, </w:t>
            </w:r>
            <w:r>
              <w:rPr>
                <w:rFonts w:ascii="Calibri" w:hAnsi="Calibri" w:eastAsia="Calibri" w:cs="Calibri"/>
                <w:i/>
                <w:iCs/>
                <w:color w:val="000000"/>
                <w:position w:val="-3"/>
                <w:sz w:val="22"/>
                <w:szCs w:val="22"/>
              </w:rPr>
              <w:t xml:space="preserve">Trypeta obliqua</w:t>
            </w:r>
            <w:r>
              <w:rPr>
                <w:rFonts w:ascii="Calibri" w:hAnsi="Calibri" w:eastAsia="Calibri" w:cs="Calibri"/>
                <w:color w:val="000000"/>
                <w:position w:val="-3"/>
                <w:sz w:val="22"/>
                <w:szCs w:val="22"/>
              </w:rPr>
              <w:t xml:space="preserve"> (Macquart)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Antillean fruit fly, West Indian fruit fly</w:t>
            </w:r>
            <w:hyperlink r:id="rId5062676c45f1d1c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74676c45f1d1d1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ANSTOB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437529" name="name5380676c45f1d2568" descr="1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09.jpg"/>
                          <pic:cNvPicPr/>
                        </pic:nvPicPr>
                        <pic:blipFill>
                          <a:blip r:embed="rId2916676c45f1d2566" cstate="print"/>
                          <a:stretch>
                            <a:fillRect/>
                          </a:stretch>
                        </pic:blipFill>
                        <pic:spPr>
                          <a:xfrm>
                            <a:off x="0" y="0"/>
                            <a:ext cx="2160000" cy="1281600"/>
                          </a:xfrm>
                          <a:prstGeom prst="rect">
                            <a:avLst/>
                          </a:prstGeom>
                          <a:ln w="0">
                            <a:noFill/>
                          </a:ln>
                        </pic:spPr>
                      </pic:pic>
                    </a:graphicData>
                  </a:graphic>
                </wp:inline>
              </w:drawing>
            </w:r>
            <w:hyperlink r:id="rId5495676c45f1d2c3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Macquart (1835) as </w:t>
      </w:r>
      <w:r>
        <w:rPr>
          <w:rFonts w:ascii="Calibri" w:hAnsi="Calibri" w:eastAsia="Calibri" w:cs="Calibri"/>
          <w:i/>
          <w:iCs/>
          <w:color w:val="000000"/>
          <w:sz w:val="22"/>
          <w:szCs w:val="22"/>
        </w:rPr>
        <w:t xml:space="preserve">Tephritis obliqua</w:t>
      </w:r>
      <w:r>
        <w:rPr>
          <w:rFonts w:ascii="Calibri" w:hAnsi="Calibri" w:eastAsia="Calibri" w:cs="Calibri"/>
          <w:color w:val="000000"/>
          <w:sz w:val="22"/>
          <w:szCs w:val="22"/>
        </w:rPr>
        <w:t xml:space="preserve">, although for many years that name was confused and was not  recognized as pertaining to this species (Steyskal, 1975), thus it has been known by a variety of other names. The current combination was proposed by Schiner (1868). The species has also been described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mombinpraeoptans</w:t>
      </w:r>
      <w:r>
        <w:rPr>
          <w:rFonts w:ascii="Calibri" w:hAnsi="Calibri" w:eastAsia="Calibri" w:cs="Calibri"/>
          <w:color w:val="000000"/>
          <w:sz w:val="22"/>
          <w:szCs w:val="22"/>
        </w:rPr>
        <w:t xml:space="preserve"> Seín (1933),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ligata</w:t>
      </w:r>
      <w:r>
        <w:rPr>
          <w:rFonts w:ascii="Calibri" w:hAnsi="Calibri" w:eastAsia="Calibri" w:cs="Calibri"/>
          <w:color w:val="000000"/>
          <w:sz w:val="22"/>
          <w:szCs w:val="22"/>
        </w:rPr>
        <w:t xml:space="preserve"> Lima (1934), and </w:t>
      </w:r>
      <w:r>
        <w:rPr>
          <w:rFonts w:ascii="Calibri" w:hAnsi="Calibri" w:eastAsia="Calibri" w:cs="Calibri"/>
          <w:i/>
          <w:iCs/>
          <w:color w:val="000000"/>
          <w:sz w:val="22"/>
          <w:szCs w:val="22"/>
        </w:rPr>
        <w:t xml:space="preserve">Anastrepha trinidadensis</w:t>
      </w:r>
      <w:r>
        <w:rPr>
          <w:rFonts w:ascii="Calibri" w:hAnsi="Calibri" w:eastAsia="Calibri" w:cs="Calibri"/>
          <w:color w:val="000000"/>
          <w:sz w:val="22"/>
          <w:szCs w:val="22"/>
        </w:rPr>
        <w:t xml:space="preserve"> Green (1934), which are synonyms. Most records of </w:t>
      </w:r>
      <w:r>
        <w:rPr>
          <w:rFonts w:ascii="Calibri" w:hAnsi="Calibri" w:eastAsia="Calibri" w:cs="Calibri"/>
          <w:i/>
          <w:iCs/>
          <w:color w:val="000000"/>
          <w:sz w:val="22"/>
          <w:szCs w:val="22"/>
        </w:rPr>
        <w:t xml:space="preserve">Anastrepha acidusa</w:t>
      </w:r>
      <w:r>
        <w:rPr>
          <w:rFonts w:ascii="Calibri" w:hAnsi="Calibri" w:eastAsia="Calibri" w:cs="Calibri"/>
          <w:color w:val="000000"/>
          <w:sz w:val="22"/>
          <w:szCs w:val="22"/>
        </w:rPr>
        <w:t xml:space="preserve"> (Walker) are misidentifications of this species, although </w:t>
      </w:r>
      <w:r>
        <w:rPr>
          <w:rFonts w:ascii="Calibri" w:hAnsi="Calibri" w:eastAsia="Calibri" w:cs="Calibri"/>
          <w:i/>
          <w:iCs/>
          <w:color w:val="000000"/>
          <w:sz w:val="22"/>
          <w:szCs w:val="22"/>
        </w:rPr>
        <w:t xml:space="preserve">A. acidusa</w:t>
      </w:r>
      <w:r>
        <w:rPr>
          <w:rFonts w:ascii="Calibri" w:hAnsi="Calibri" w:eastAsia="Calibri" w:cs="Calibri"/>
          <w:color w:val="000000"/>
          <w:sz w:val="22"/>
          <w:szCs w:val="22"/>
        </w:rPr>
        <w:t xml:space="preserve"> is also a valid but rare species. Name, host plant, and distribution data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other fruit flies are available under Fruit Fly Databases on the USDA Compendium of Fruit Fly Host Information (</w:t>
      </w:r>
      <w:hyperlink r:id="rId8663676c45f1d2e8c"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one of the most significant pests of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hog plums and mombins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It also attacks carambola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and a range of other fruit crops. A total of 90 species have been reported as natural hosts, although the records for a few of these hosts are questionable.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only occasional hosts. An additional 21 commercial fruit species have been infested under artificial conditions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one of the most widespread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occurring from Mexico and the West Indies to northern Argentina. It is invasive in the Lesser Antilles (CABI, 2008). </w:t>
      </w:r>
    </w:p>
    <w:p>
      <w:pPr>
        <w:widowControl w:val="on"/>
        <w:pBdr/>
        <w:spacing w:before="220" w:after="220" w:line="240" w:lineRule="auto"/>
        <w:ind w:left="0" w:right="0"/>
        <w:jc w:val="both"/>
      </w:pPr>
      <w:r>
        <w:rPr>
          <w:rFonts w:ascii="Calibri" w:hAnsi="Calibri" w:eastAsia="Calibri" w:cs="Calibri"/>
          <w:color w:val="000000"/>
          <w:sz w:val="22"/>
          <w:szCs w:val="22"/>
        </w:rPr>
        <w:t xml:space="preserve">Reports of its introduction to Bermuda were erroneous (Woodley &amp; Hilburn 1994). Records from the Bahamas (White &amp; Elson-Harris 1992) are also doubtful. It was temporarily invasive in Key West, Florida (USA) in the 1930s (Steck, 2001), and is infrequently trapped in the Rio Grande Valley in Texas. It has been intercepted in Chile but is not established. </w:t>
      </w:r>
    </w:p>
    <w:p>
      <w:r>
        <w:drawing>
          <wp:inline distT="0" distB="0" distL="0" distR="0">
            <wp:extent cx="6120000" cy="3067200"/>
            <wp:docPr id="1149969" name="name5851676c45f1d407e" descr="ANST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B_distribution_map.jpg"/>
                    <pic:cNvPicPr/>
                  </pic:nvPicPr>
                  <pic:blipFill>
                    <a:blip r:embed="rId3405676c45f1d407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Costa Rica, Cuba, Dominica, Dominican Republic, El Salvador, Grenada, Guadeloupe, Guatemala, Haiti, Honduras, Jamaica, Martinique, Montserrat,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Alagoas, Amapa, Amazonas, Bahia, Ceara, Distrito Federal, Espirito Santo, Goias, Maranhao, Mato Grosso, Mato Grosso do Sul, Minas Gerais, Para, Paraiba, Parana, Pernambuco, Piaui, Rio de Janeiro, Rio Grande do Norte, Rio Grande do Sul, Rondonia, Roraima, Santa Catarina, Sao Paulo, Tocantins), Colombia, Ecuador, French Guiana, Guyana, Paraguay, Peru, Suriname,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generally, eggs are laid in fruits. In the case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they are laid singly, just below the skin with the short anterior lobe that is believed to have a respiratory function, projecting slightly outside the fruit (Murillo &amp; Jirón, 1994,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Mean development time for eggs, larvae and pupae together is 48.5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pass through three instars and feed in the pulp of the fruit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Females mark fruit in which they have oviposited with an oviposition deterring pheromone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Adult males produce a pheromone and lek to attract females for mating. Calling occurs in the day, with the highest peak in the morning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occur throughout the year (Christenson &amp; Foote, 1960), with a pronounced peak associated with the fruiting season of mango and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(Hedström, 1994; MIDA,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for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Steck et al.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provided descriptive information for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feed in the pulp of their host fruits. 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larvae are whitish, 7.5-9.0 mm long, lacking an external head capsule. The two mandibles, or mouthhooks, are strongly developed. The body is tapered anteriorly and truncate posteriorly. The posterior spiracular plate is weak, unpigmented, without a peritreme, and with three openings arranged with their medial ends converging, the dorsal and ventral ones subparallel or oriented at less than 90°. There are 6-11 oral ridges, and 9-18 tubules on the anterior spiracle. Thoracic segments 2 and 3 have 2-5 rows of spinules dorsally, but dorsal spinules are absent on the abdominal segments. The posterior spiracular openings are about 3 times as long as wide, and the spiracular hairs are in dorsal and ventral bundles of 8-17 hairs and lateral bundles of 4-12 hairs branched on the apical third. The anal lobes are large, protuberant and not grooved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submitted).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distinctive compared to most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They bear a short lobe on the anterior end distal to the micropyle. Although the eggs have not been described for the majority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to date only that of </w:t>
      </w:r>
      <w:r>
        <w:rPr>
          <w:rFonts w:ascii="Calibri" w:hAnsi="Calibri" w:eastAsia="Calibri" w:cs="Calibri"/>
          <w:i/>
          <w:iCs/>
          <w:color w:val="000000"/>
          <w:sz w:val="22"/>
          <w:szCs w:val="22"/>
        </w:rPr>
        <w:t xml:space="preserve">A. barbiellinii</w:t>
      </w:r>
      <w:r>
        <w:rPr>
          <w:rFonts w:ascii="Calibri" w:hAnsi="Calibri" w:eastAsia="Calibri" w:cs="Calibri"/>
          <w:color w:val="000000"/>
          <w:sz w:val="22"/>
          <w:szCs w:val="22"/>
        </w:rPr>
        <w:t xml:space="preserve">, a non-pest, is known to have a similar short lobe.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adults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orange brown to dark red brown; mesopleuron and scutum without brown markings, without brown spot medially on scuto-scutellar suture; subscutellum entirely yellow to orange; mediotergite usually narrowly brown laterally; V-band proximal arm extending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1.5–1.9 mm long, 0.52–0.61 times mesonotum length; aculeus 1.30–1.75 mm long; tip 0.15–0.25 mm long, with distal 0.67–0.82 distinctly serrate and with lateral margin of serrate part slightly curved dorsally; 0.08–0.12 mm wide. Gravid females can be distinguished from similar pest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the lobe on the egg.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can be distinguished from many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but it cannot be distinguished from some species 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including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by this region. It can be distinguished from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by differences in the ITS2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explored the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using two mitochondrial genes (COI and ND6), and Passos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explored the genetic structure and diversity in Brazilian populations based on COI.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investigated intra-specific relationships within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using a multi-locus data set (7 nuclear and 2 mitochondrial loci).</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 liable to carry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other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is considered the most important fruit fly pest in the West Indies, and it and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the most significant pest fruit flies in Mexico and Central America, especially on mango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South America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second in importance in many areas only to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(Bateman, 1982; Roessler, 1989).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has had limited success (Niklaus-Ruiz and Basedow, 1997,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but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used for suppression and eradication in area-wide management programs to control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w:t>
      </w:r>
      <w:r>
        <w:rPr>
          <w:rFonts w:ascii="Calibri" w:hAnsi="Calibri" w:eastAsia="Calibri" w:cs="Calibri"/>
          <w:i/>
          <w:iCs/>
          <w:color w:val="000000"/>
          <w:sz w:val="22"/>
          <w:szCs w:val="22"/>
        </w:rPr>
        <w:t xml:space="preserve">obliqua</w:t>
      </w:r>
      <w:r>
        <w:rPr>
          <w:rFonts w:ascii="Calibri" w:hAnsi="Calibri" w:eastAsia="Calibri" w:cs="Calibri"/>
          <w:color w:val="000000"/>
          <w:sz w:val="22"/>
          <w:szCs w:val="22"/>
        </w:rPr>
        <w:t xml:space="preserve"> has a broad range of hosts and is a major pest throughout its range, especially on mango. It is invasive at least in the Lesser Antilles (CABI, 2008) and has been trapped in California, Florida, Texas and other states in the USA (Steck, 1991).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modelled its potential geographic distribution and predicted its ability to establish throughout much of the tropical and subtropical areas of the world. It occurs primarily in lowland, 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is limited to the warmer southern parts of the EPPO region. Populations might enter and multiply during the summer months. In southern areas, some such populations might survive one or more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Syzygium spp., and other reported host plants from countries where </w:t>
      </w:r>
      <w:r>
        <w:rPr>
          <w:rFonts w:ascii="Calibri" w:hAnsi="Calibri" w:eastAsia="Calibri" w:cs="Calibri"/>
          <w:i/>
          <w:iCs/>
          <w:color w:val="000000"/>
          <w:sz w:val="22"/>
          <w:szCs w:val="22"/>
        </w:rPr>
        <w:t xml:space="preserve">A. obliqua</w:t>
      </w:r>
      <w:r>
        <w:rPr>
          <w:rFonts w:ascii="Calibri" w:hAnsi="Calibri" w:eastAsia="Calibri" w:cs="Calibri"/>
          <w:i/>
          <w:iCs/>
          <w:color w:val="000000"/>
          <w:sz w:val="22"/>
          <w:szCs w:val="22"/>
        </w:rPr>
        <w:t xml:space="preserve"> occurs</w:t>
      </w:r>
      <w:r>
        <w:rPr>
          <w:rFonts w:ascii="Calibri" w:hAnsi="Calibri" w:eastAsia="Calibri" w:cs="Calibri"/>
          <w:color w:val="000000"/>
          <w:sz w:val="22"/>
          <w:szCs w:val="22"/>
        </w:rPr>
        <w:t xml:space="preserve"> should be inspected for symptoms of infestation, and suspected infested fruits should be cut open to look for larvae. Such fruits should be imported from areas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does not occur or from a place of production found free from the pest by regular inspection for 3 months before harvest. Some fruits may be treated in transit by cold treatment (e.g., 13, 15 or 17 days at 0.5, 1.0 or 1.5°C, respectively), by hot water immersion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mango, 46°C for 65 to 110 minutes depending on fruit size), by vapour heat (e.g., at 43°C for 4-6 h) (USDA, 2020), forced hot-air quarantine treatment (Mangan &amp; Ingle, 1992), or irradiation.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de,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(2017a)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Obregón O, Shatters R, Norrbom AL, Nolazco N, Thomas DB (2017b). Diagnostic characters within ITS2 DNA support molecular identification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100, 182-185. </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J.E.), pp. 192-213. CAB International,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(2008)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(West Indian fruit fly) [original text by A. L. Norrbom]. In: Invasive Species Compendium. Wallingford, UK: CAB International. www.cabi.org/isc.</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Diaz-Fleischer F, Arrendondo J, Flores S, Montoya P, Aluja M (2009) There is no magic fruit fly trap: multiple biological factors influence the response to adult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individuals to Multilure traps baited with BioLure or Nulure.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86-94.</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R, Lopez MF (1989) Pest status;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83-90.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Fu L, Li Z-H, Huang G-S, Wu X-X, Ni W-L, Qu W-W (2014) The current and future potential geographic range of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234–244.</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Hedström I (1994) Population dynamics and host relationships of Neotropical fruit flies (Diptera: Tephritidae) in seasonal and non-seasonal environments.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400-410.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 da Costa (1934) Moscas de frutas do genero Anastrepha Schiner, 1868 (Diptera: Trypetidae). </w:t>
      </w:r>
      <w:r>
        <w:rPr>
          <w:rFonts w:ascii="Calibri" w:hAnsi="Calibri" w:eastAsia="Calibri" w:cs="Calibri"/>
          <w:i/>
          <w:iCs/>
          <w:color w:val="000000"/>
          <w:sz w:val="22"/>
          <w:szCs w:val="22"/>
        </w:rPr>
        <w:t xml:space="preserve">Memórias do Instituto Oswaldo Cruz (Rio de Janeiro)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487-575.</w:t>
      </w:r>
    </w:p>
    <w:p>
      <w:pPr>
        <w:widowControl w:val="on"/>
        <w:pBdr/>
        <w:spacing w:before="220" w:after="220" w:line="240" w:lineRule="auto"/>
        <w:ind w:left="0" w:right="0"/>
        <w:jc w:val="left"/>
      </w:pPr>
      <w:r>
        <w:rPr>
          <w:rFonts w:ascii="Calibri" w:hAnsi="Calibri" w:eastAsia="Calibri" w:cs="Calibri"/>
          <w:color w:val="000000"/>
          <w:sz w:val="22"/>
          <w:szCs w:val="22"/>
        </w:rPr>
        <w:t xml:space="preserve">Macquart JPM (1835) Histoire naturelle des Insectes. Diptères. Tome deuxième. Ouvrage accompagné de planches. In: Nouvelles suites a Buffon, formant, avec les oeuvres de cet auteur, un cours complet d'histoire naturelle. Collection accompagnee de planches (Ed. by Roret, N.E.), IV + 703 p. Paris. 82 vols. + 11 atlases.</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(1992) Forced hot-air quarantine treatment for mangoes infested with West Indian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1859-1864.</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Desarrollo Agropecuario (2013) Proyecto de area libre (AL01): Azuero exporta libre de MoscaMed; Programa nacional moscas de la fruta monitoreos de detección (MD) y proyectos de exportación (PX) en la provincia de Chiriqui; Monitoreos de deteccion (MD) en otras provincias de la Republica de Panama. Informe tecnico para APHIS - USDA. 27 p.</w:t>
      </w:r>
    </w:p>
    <w:p>
      <w:pPr>
        <w:widowControl w:val="on"/>
        <w:pBdr/>
        <w:spacing w:before="220" w:after="220" w:line="240" w:lineRule="auto"/>
        <w:ind w:left="0" w:right="0"/>
        <w:jc w:val="left"/>
      </w:pPr>
      <w:r>
        <w:rPr>
          <w:rFonts w:ascii="Calibri" w:hAnsi="Calibri" w:eastAsia="Calibri" w:cs="Calibri"/>
          <w:color w:val="000000"/>
          <w:sz w:val="22"/>
          <w:szCs w:val="22"/>
        </w:rPr>
        <w:t xml:space="preserve">Murillo T, Jirón LF (1994) Egg morphology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and some comparative aspects with eggs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342-348.</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AS, Malavasi A, Morgante JS, Duarte ALA (1992) Hot water immersion treatment for mangoes infested with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456-460.</w:t>
      </w:r>
    </w:p>
    <w:p>
      <w:pPr>
        <w:widowControl w:val="on"/>
        <w:pBdr/>
        <w:spacing w:before="220" w:after="220" w:line="240" w:lineRule="auto"/>
        <w:ind w:left="0" w:right="0"/>
        <w:jc w:val="left"/>
      </w:pPr>
      <w:r>
        <w:rPr>
          <w:rFonts w:ascii="Calibri" w:hAnsi="Calibri" w:eastAsia="Calibri" w:cs="Calibri"/>
          <w:color w:val="000000"/>
          <w:sz w:val="22"/>
          <w:szCs w:val="22"/>
        </w:rPr>
        <w:t xml:space="preserve">Niklaus-Ruiz Borge M, Basedow T (1997) A survey on the occurrence and flight periods of fruit fly species (Diptera: Tephritidae) in a fruit growing area in southwest Nicaragua, 1994/95.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405-412.  </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http://delta-intkey.com/anatox/intro.htm.</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OS, Dohara R, Zucchi RA, Canal NA (1997)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(Diptera: Tephritidae) on </w:t>
      </w:r>
      <w:r>
        <w:rPr>
          <w:rFonts w:ascii="Calibri" w:hAnsi="Calibri" w:eastAsia="Calibri" w:cs="Calibri"/>
          <w:i/>
          <w:iCs/>
          <w:color w:val="000000"/>
          <w:sz w:val="22"/>
          <w:szCs w:val="22"/>
        </w:rPr>
        <w:t xml:space="preserve">Malpighia punicifolia</w:t>
      </w:r>
      <w:r>
        <w:rPr>
          <w:rFonts w:ascii="Calibri" w:hAnsi="Calibri" w:eastAsia="Calibri" w:cs="Calibri"/>
          <w:color w:val="000000"/>
          <w:sz w:val="22"/>
          <w:szCs w:val="22"/>
        </w:rPr>
        <w:t xml:space="preserve"> L. in Para state. </w:t>
      </w:r>
      <w:r>
        <w:rPr>
          <w:rFonts w:ascii="Calibri" w:hAnsi="Calibri" w:eastAsia="Calibri" w:cs="Calibri"/>
          <w:i/>
          <w:iCs/>
          <w:color w:val="000000"/>
          <w:sz w:val="22"/>
          <w:szCs w:val="22"/>
        </w:rPr>
        <w:t xml:space="preserve">Anais da Sociedade Entomológica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(2), 389-390.  </w:t>
      </w:r>
    </w:p>
    <w:p>
      <w:pPr>
        <w:widowControl w:val="on"/>
        <w:pBdr/>
        <w:spacing w:before="220" w:after="220" w:line="240" w:lineRule="auto"/>
        <w:ind w:left="0" w:right="0"/>
        <w:jc w:val="left"/>
      </w:pPr>
      <w:r>
        <w:rPr>
          <w:rFonts w:ascii="Calibri" w:hAnsi="Calibri" w:eastAsia="Calibri" w:cs="Calibri"/>
          <w:color w:val="000000"/>
          <w:sz w:val="22"/>
          <w:szCs w:val="22"/>
        </w:rPr>
        <w:t xml:space="preserve">Passos JF, Nascimento DB, Menezes RST, Adaime R, Araujo EL, Lima KM, Zucchi RA, Ronchi Teles B, Nascimento RR, Ruiz-Arce R, Barr NB, McPheron BA, Silva JG (2018) Genetic structure and diversity in Brazilian populations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e0208997), 14 p.</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w:t>
      </w:r>
      <w:r>
        <w:rPr>
          <w:rFonts w:ascii="Calibri" w:hAnsi="Calibri" w:eastAsia="Calibri" w:cs="Calibri"/>
          <w:i/>
          <w:iCs/>
          <w:color w:val="000000"/>
          <w:sz w:val="22"/>
          <w:szCs w:val="22"/>
        </w:rPr>
        <w:t xml:space="preserve">Moscas de la fruta: Fundamentos y procedimientos para su manejo</w:t>
      </w:r>
      <w:r>
        <w:rPr>
          <w:rFonts w:ascii="Calibri" w:hAnsi="Calibri" w:eastAsia="Calibri" w:cs="Calibri"/>
          <w:color w:val="000000"/>
          <w:sz w:val="22"/>
          <w:szCs w:val="22"/>
        </w:rPr>
        <w:t xml:space="preserve">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(2018)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(Diptera: Tephritidae).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(submitted).</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Barr NB, Owen CL, Thomas BD, McPheron BA (2012) Phylogeography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2147-2160.</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Into F, Thomas DB, Ruiz-Arce R, Barr NB, Schuenzel EL (2016) Resolution of inter and intra-species relationships of the West Indian fruit fly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286–293.</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w:t>
      </w:r>
      <w:r>
        <w:rPr>
          <w:rFonts w:ascii="Calibri" w:hAnsi="Calibri" w:eastAsia="Calibri" w:cs="Calibri"/>
          <w:i/>
          <w:iCs/>
          <w:color w:val="000000"/>
          <w:sz w:val="22"/>
          <w:szCs w:val="22"/>
        </w:rPr>
        <w:t xml:space="preserve">Reise der österreichischen Fregatte Novara um die Erde in den Jahren 1857, 1858, 1859, unter den Befehlen des Commodore B. von Wüllerstorf-Urbair</w:t>
      </w:r>
      <w:r>
        <w:rPr>
          <w:rFonts w:ascii="Calibri" w:hAnsi="Calibri" w:eastAsia="Calibri" w:cs="Calibri"/>
          <w:color w:val="000000"/>
          <w:sz w:val="22"/>
          <w:szCs w:val="22"/>
        </w:rPr>
        <w:t xml:space="preserve">. Zoologischer Theil. Zweiter Band. 1. Abtheilung, [Sect.] B, [Art. I]. vi + 388 p. Karl Gerold's Sohn, Wien [= Vienna].</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 Dep. Agric. P.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(2001) Concerning the occurrence of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(Diptera: Tephritidae,)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320-321.</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w:t>
      </w:r>
      <w:r>
        <w:rPr>
          <w:rFonts w:ascii="Calibri" w:hAnsi="Calibri" w:eastAsia="Calibri" w:cs="Calibri"/>
          <w:i/>
          <w:iCs/>
          <w:color w:val="000000"/>
          <w:sz w:val="22"/>
          <w:szCs w:val="22"/>
        </w:rPr>
        <w:t xml:space="preserve">Area-Wide Management of Fruit Fly Pests</w:t>
      </w:r>
      <w:r>
        <w:rPr>
          <w:rFonts w:ascii="Calibri" w:hAnsi="Calibri" w:eastAsia="Calibri" w:cs="Calibri"/>
          <w:color w:val="000000"/>
          <w:sz w:val="22"/>
          <w:szCs w:val="22"/>
        </w:rPr>
        <w:t xml:space="preserve"> (Ed. by Pérez-Staples, D.; Diaz-Fleischer, F.; Montoya, P.; Vera, T.), p. 57-88.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Steyskal GC (1975)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(Macquart) the prior name for </w:t>
      </w:r>
      <w:r>
        <w:rPr>
          <w:rFonts w:ascii="Calibri" w:hAnsi="Calibri" w:eastAsia="Calibri" w:cs="Calibri"/>
          <w:i/>
          <w:iCs/>
          <w:color w:val="000000"/>
          <w:sz w:val="22"/>
          <w:szCs w:val="22"/>
        </w:rPr>
        <w:t xml:space="preserve">Anastrepha mombinpraeoptans</w:t>
      </w:r>
      <w:r>
        <w:rPr>
          <w:rFonts w:ascii="Calibri" w:hAnsi="Calibri" w:eastAsia="Calibri" w:cs="Calibri"/>
          <w:color w:val="000000"/>
          <w:sz w:val="22"/>
          <w:szCs w:val="22"/>
        </w:rPr>
        <w:t xml:space="preserve"> Sein (fruit flies, Tephritidae, Diptera).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357-358.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Woodley NE, Hilburn DJ (1994) The Diptera of Bermuda. </w:t>
      </w:r>
      <w:r>
        <w:rPr>
          <w:rFonts w:ascii="Calibri" w:hAnsi="Calibri" w:eastAsia="Calibri" w:cs="Calibri"/>
          <w:i/>
          <w:iCs/>
          <w:color w:val="000000"/>
          <w:sz w:val="22"/>
          <w:szCs w:val="22"/>
        </w:rPr>
        <w:t xml:space="preserve">Contributions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1-64.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EPPO datasheets on pests recommended for regulation. Available online. </w:t>
      </w:r>
      <w:hyperlink r:id="rId6596676c45f1d69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419676c45f1d6b4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8257886" name="name6218676c45f1d6d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99676c45f1d6d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11674">
    <w:multiLevelType w:val="hybridMultilevel"/>
    <w:lvl w:ilvl="0" w:tplc="27215027">
      <w:start w:val="1"/>
      <w:numFmt w:val="decimal"/>
      <w:lvlText w:val="%1."/>
      <w:lvlJc w:val="left"/>
      <w:pPr>
        <w:ind w:left="720" w:hanging="360"/>
      </w:pPr>
    </w:lvl>
    <w:lvl w:ilvl="1" w:tplc="27215027" w:tentative="1">
      <w:start w:val="1"/>
      <w:numFmt w:val="lowerLetter"/>
      <w:lvlText w:val="%2."/>
      <w:lvlJc w:val="left"/>
      <w:pPr>
        <w:ind w:left="1440" w:hanging="360"/>
      </w:pPr>
    </w:lvl>
    <w:lvl w:ilvl="2" w:tplc="27215027" w:tentative="1">
      <w:start w:val="1"/>
      <w:numFmt w:val="lowerRoman"/>
      <w:lvlText w:val="%3."/>
      <w:lvlJc w:val="right"/>
      <w:pPr>
        <w:ind w:left="2160" w:hanging="180"/>
      </w:pPr>
    </w:lvl>
    <w:lvl w:ilvl="3" w:tplc="27215027" w:tentative="1">
      <w:start w:val="1"/>
      <w:numFmt w:val="decimal"/>
      <w:lvlText w:val="%4."/>
      <w:lvlJc w:val="left"/>
      <w:pPr>
        <w:ind w:left="2880" w:hanging="360"/>
      </w:pPr>
    </w:lvl>
    <w:lvl w:ilvl="4" w:tplc="27215027" w:tentative="1">
      <w:start w:val="1"/>
      <w:numFmt w:val="lowerLetter"/>
      <w:lvlText w:val="%5."/>
      <w:lvlJc w:val="left"/>
      <w:pPr>
        <w:ind w:left="3600" w:hanging="360"/>
      </w:pPr>
    </w:lvl>
    <w:lvl w:ilvl="5" w:tplc="27215027" w:tentative="1">
      <w:start w:val="1"/>
      <w:numFmt w:val="lowerRoman"/>
      <w:lvlText w:val="%6."/>
      <w:lvlJc w:val="right"/>
      <w:pPr>
        <w:ind w:left="4320" w:hanging="180"/>
      </w:pPr>
    </w:lvl>
    <w:lvl w:ilvl="6" w:tplc="27215027" w:tentative="1">
      <w:start w:val="1"/>
      <w:numFmt w:val="decimal"/>
      <w:lvlText w:val="%7."/>
      <w:lvlJc w:val="left"/>
      <w:pPr>
        <w:ind w:left="5040" w:hanging="360"/>
      </w:pPr>
    </w:lvl>
    <w:lvl w:ilvl="7" w:tplc="27215027" w:tentative="1">
      <w:start w:val="1"/>
      <w:numFmt w:val="lowerLetter"/>
      <w:lvlText w:val="%8."/>
      <w:lvlJc w:val="left"/>
      <w:pPr>
        <w:ind w:left="5760" w:hanging="360"/>
      </w:pPr>
    </w:lvl>
    <w:lvl w:ilvl="8" w:tplc="27215027" w:tentative="1">
      <w:start w:val="1"/>
      <w:numFmt w:val="lowerRoman"/>
      <w:lvlText w:val="%9."/>
      <w:lvlJc w:val="right"/>
      <w:pPr>
        <w:ind w:left="6480" w:hanging="180"/>
      </w:pPr>
    </w:lvl>
  </w:abstractNum>
  <w:abstractNum w:abstractNumId="67611673">
    <w:multiLevelType w:val="hybridMultilevel"/>
    <w:lvl w:ilvl="0" w:tplc="167760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11673">
    <w:abstractNumId w:val="67611673"/>
  </w:num>
  <w:num w:numId="67611674">
    <w:abstractNumId w:val="676116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062417" Type="http://schemas.microsoft.com/office/2011/relationships/commentsExtended" Target="commentsExtended.xml"/><Relationship Id="rId664587781" Type="http://schemas.microsoft.com/office/2011/relationships/people" Target="people.xml"/><Relationship Id="rId5062676c45f1d1caf" Type="http://schemas.openxmlformats.org/officeDocument/2006/relationships/hyperlink" Target="https://gd.eppo.int/taxon/ANSTOB/" TargetMode="External"/><Relationship Id="rId6874676c45f1d1d1d" Type="http://schemas.openxmlformats.org/officeDocument/2006/relationships/hyperlink" Target="https://gd.eppo.int/taxon/ANSTOB/categorization" TargetMode="External"/><Relationship Id="rId5495676c45f1d2c3f" Type="http://schemas.openxmlformats.org/officeDocument/2006/relationships/hyperlink" Target="https://gd.eppo.int/taxon/ANSTOB/photos" TargetMode="External"/><Relationship Id="rId8663676c45f1d2e8c" Type="http://schemas.openxmlformats.org/officeDocument/2006/relationships/hyperlink" Target="https://coffhi.cphst.org/" TargetMode="External"/><Relationship Id="rId6596676c45f1d69eb" Type="http://schemas.openxmlformats.org/officeDocument/2006/relationships/hyperlink" Target="https://gd.eppo.int" TargetMode="External"/><Relationship Id="rId9419676c45f1d6b4a" Type="http://schemas.openxmlformats.org/officeDocument/2006/relationships/hyperlink" Target="https://doi.org/10.1111/j.1365-2338.1983.tb01715.x" TargetMode="External"/><Relationship Id="rId2916676c45f1d2566" Type="http://schemas.openxmlformats.org/officeDocument/2006/relationships/image" Target="media/imgrId2916676c45f1d2566.jpg"/><Relationship Id="rId3405676c45f1d407a" Type="http://schemas.openxmlformats.org/officeDocument/2006/relationships/image" Target="media/imgrId3405676c45f1d407a.jpg"/><Relationship Id="rId4199676c45f1d6d29" Type="http://schemas.openxmlformats.org/officeDocument/2006/relationships/image" Target="media/imgrId4199676c45f1d6d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