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eugenii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eugenii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Cano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Anthonomochaeta eugenii</w:t>
            </w:r>
            <w:r>
              <w:rPr>
                <w:rFonts w:ascii="Calibri" w:hAnsi="Calibri" w:eastAsia="Calibri" w:cs="Calibri"/>
                <w:color w:val="000000"/>
                <w:position w:val="-3"/>
                <w:sz w:val="22"/>
                <w:szCs w:val="22"/>
              </w:rPr>
              <w:t xml:space="preserve"> (Cano), </w:t>
            </w:r>
            <w:r>
              <w:rPr>
                <w:rFonts w:ascii="Calibri" w:hAnsi="Calibri" w:eastAsia="Calibri" w:cs="Calibri"/>
                <w:i/>
                <w:iCs/>
                <w:color w:val="000000"/>
                <w:position w:val="-3"/>
                <w:sz w:val="22"/>
                <w:szCs w:val="22"/>
              </w:rPr>
              <w:t xml:space="preserve">Anthonomus aeneotinctus</w:t>
            </w:r>
            <w:r>
              <w:rPr>
                <w:rFonts w:ascii="Calibri" w:hAnsi="Calibri" w:eastAsia="Calibri" w:cs="Calibri"/>
                <w:color w:val="000000"/>
                <w:position w:val="-3"/>
                <w:sz w:val="22"/>
                <w:szCs w:val="22"/>
              </w:rPr>
              <w:t xml:space="preserve"> Champion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pepper weevil</w:t>
            </w:r>
            <w:hyperlink r:id="rId336367ce626d0314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64267ce626d031b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ANTHEU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8896716" name="name873267ce626d03925" descr="8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51.jpg"/>
                          <pic:cNvPicPr/>
                        </pic:nvPicPr>
                        <pic:blipFill>
                          <a:blip r:embed="rId483667ce626d03923" cstate="print"/>
                          <a:stretch>
                            <a:fillRect/>
                          </a:stretch>
                        </pic:blipFill>
                        <pic:spPr>
                          <a:xfrm>
                            <a:off x="0" y="0"/>
                            <a:ext cx="2160000" cy="1281600"/>
                          </a:xfrm>
                          <a:prstGeom prst="rect">
                            <a:avLst/>
                          </a:prstGeom>
                          <a:ln w="0">
                            <a:noFill/>
                          </a:ln>
                        </pic:spPr>
                      </pic:pic>
                    </a:graphicData>
                  </a:graphic>
                </wp:inline>
              </w:drawing>
            </w:r>
            <w:hyperlink r:id="rId783467ce626d03a4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is a large genus (more than 180 species) and is widely distributed.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are cultivated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including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frutescens</w:t>
      </w:r>
      <w:r>
        <w:rPr>
          <w:rFonts w:ascii="Calibri" w:hAnsi="Calibri" w:eastAsia="Calibri" w:cs="Calibri"/>
          <w:color w:val="000000"/>
          <w:sz w:val="22"/>
          <w:szCs w:val="22"/>
        </w:rPr>
        <w:t xml:space="preserve"> (Acosta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some wild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Capinera (2017) reports that tomatillo, </w:t>
      </w:r>
      <w:r>
        <w:rPr>
          <w:rFonts w:ascii="Calibri" w:hAnsi="Calibri" w:eastAsia="Calibri" w:cs="Calibri"/>
          <w:i/>
          <w:iCs/>
          <w:color w:val="000000"/>
          <w:sz w:val="22"/>
          <w:szCs w:val="22"/>
        </w:rPr>
        <w:t xml:space="preserve">Physalis philadelphica</w:t>
      </w:r>
      <w:r>
        <w:rPr>
          <w:rFonts w:ascii="Calibri" w:hAnsi="Calibri" w:eastAsia="Calibri" w:cs="Calibri"/>
          <w:color w:val="000000"/>
          <w:sz w:val="22"/>
          <w:szCs w:val="22"/>
        </w:rPr>
        <w:t xml:space="preserve">, is a moderately susceptible host. Other Solanaceae are also attacked, including aubergines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many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(Patrock &amp; Schuster, 1992).  Oviposition and larval development appear to be restricted 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Adults may also feed on other Solanaceae such as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(Patrock &amp; Schuster, 1992), </w:t>
      </w:r>
      <w:r>
        <w:rPr>
          <w:rFonts w:ascii="Calibri" w:hAnsi="Calibri" w:eastAsia="Calibri" w:cs="Calibri"/>
          <w:i/>
          <w:iCs/>
          <w:color w:val="000000"/>
          <w:sz w:val="22"/>
          <w:szCs w:val="22"/>
        </w:rPr>
        <w:t xml:space="preserve">Calibrachoa parviflora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Petunia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a variety of other plants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Patrock &amp; Schuster, 1992, Seal &amp; Martin, 2016). Adults have been reported to feed on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but no oviposition has been observed on potato.</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glaucophyllum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originates from Mexico from where it has spread through Central America, the Caribbean, French Polynesia and Hawaii (Defra, 2020) and southern states of the USA in the first part of the 20th century.  </w:t>
      </w:r>
    </w:p>
    <w:p>
      <w:r>
        <w:drawing>
          <wp:inline distT="0" distB="0" distL="0" distR="0">
            <wp:extent cx="6120000" cy="3067200"/>
            <wp:docPr id="59149031" name="name170467ce626d050b1" descr="ANTHE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EU_distribution_map.jpg"/>
                    <pic:cNvPicPr/>
                  </pic:nvPicPr>
                  <pic:blipFill>
                    <a:blip r:embed="rId571967ce626d050a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(Arizona, California, Florida, Georgia, Hawaii, Louisiana, New Jersey, New Mexico, North Carolina, South Carolina,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Dominican Republic, El Salvador, Guatemala, Honduras, Jamaica, Nicaragua, Panama, Puerto Rico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French Polynesia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 to adult development time at 26-28°C was approximately 14 days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(Patrock &amp; Schuster, 1992). In the laboratory, the egg stage took 3.6 days, the larval stage 9.5 days, the pupal stage 3.3 days and the adult stage 3.1 days (egg to adult 16.4 days) (Gordon &amp; Armstrong, 1990). In Florida (USA), the egg takes 2.5-3 days, larva 6-12 days and pupa 3-6 days to develop. Adults are found throughout the year except for December and January. The adults usually spend the winter on weeds (wild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or old pepper plants. No diapause has been observed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Overwintering adults can live for 10 months, but adults only live for 2-3 months in the summer. Females lay approximately 5-7 eggs a day with a total of approximately 340-600 eggs in their lifetime. Eggs are deposited singly in the bud or fruit after the female has created an egg cavity with her mouthparts. She covers this cavity with a light brown anal secretion that hardens. The oviposition period is around 51 days (Toapanta, 2005).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has several generations per year with the number of generations depending on the temperature (e.g. a two-week lifecycle at 27 °C, a three-week life cycle 21°C and a six-week lifecycle at 15°C). The optimum temperature for development is 30°C but declined at 33°C (Toapanta,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leaves, blossoms, stem material and fruit. Adult feeding on the fruit causes dark specks (EFSA, 2020) and internal fruit damage (Riley and Sparks, 1995), females bore into fruits and flower buds for oviposition.  Females show a preference towards the upper portion of the fruit (Seal &amp; Martin, 2016) The created wounds facilitate the entry of the fungus </w:t>
      </w:r>
      <w:r>
        <w:rPr>
          <w:rFonts w:ascii="Calibri" w:hAnsi="Calibri" w:eastAsia="Calibri" w:cs="Calibri"/>
          <w:i/>
          <w:iCs/>
          <w:color w:val="000000"/>
          <w:sz w:val="22"/>
          <w:szCs w:val="22"/>
        </w:rPr>
        <w:t xml:space="preserve">Alternaria alternata</w:t>
      </w:r>
      <w:r>
        <w:rPr>
          <w:rFonts w:ascii="Calibri" w:hAnsi="Calibri" w:eastAsia="Calibri" w:cs="Calibri"/>
          <w:color w:val="000000"/>
          <w:sz w:val="22"/>
          <w:szCs w:val="22"/>
        </w:rPr>
        <w:t xml:space="preserve"> which can develop internally and cause fruit rot (Bruton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Early signs of the presence of the weevil are small holes in immature fruits and small circular or oval holes (2-5 mm) in leaves. These can be mistaken for slug or caterpillar damage. Larvae feed on seeds and other tissue in the developing fruits (Costello &amp; Gillespie, 1993) and this causes fruit deformation, discoloration, including browning of the core, and premature ripening and abscission of the developing fruit (Capinera,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dark brown (light brown when newly emerged) to greyish black (Rily &amp; Sparks ,1995), 2.0 -3.5 mm long and 1.5-1.8 mm wide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It has an arched oval body that is covered with small white/yellow scales and has a long snout. The last larval stage is approximately 5 mm. The larva is greyish white/yellow with a pale brown head with dark mouthparts, body is c-shaped and legless. The pupa is white and becomes yellower with brown eyes when it develops. The eggs are white (later becoming yellow) and about 0.5 mm long (Defra, 2020).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species identification can be performed on adult beetles (not on eggs, larvae or pupae). A key to the Mexican and Central American genera of Anthonomini (Curculionidae, Curculioninae) has been published by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key to the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species (that are associated with Solanaceae) has been published by Clark &amp; Burke (1996). There are other weevils on the same hosts which are the same size and have the same geographical distribution. For confirmation of an identification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DNA barcoding can be used (EPPO, 2016).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can only spread naturally over limited distances, however, it is liable to be transported internationally in fruits of capsicums and possibly aubergines. This is presumably the pathway for spread that has occurred e.g. in Central America. Adults can survive prolonged cool conditions (2-5°C) for over 3 weeks and be transported as immature stages in fresh fruits (Costello &amp; Gillespie, 1993). Fruits of wild hosts could accidentally contaminate poorly packed consignments.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to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is the destruction of blossom buds and immature fruits, which turn yellow and fall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In Puerto Rico, the theoretical economic injury level was calculated at 0.01 adults per plant, and fruit abortion was the main cause of yield loss (Segarra-Carmona &amp; Pantoja, 1988). There appears to be a direct relationship between pepper weevil damage and internal mould due to </w:t>
      </w:r>
      <w:r>
        <w:rPr>
          <w:rFonts w:ascii="Calibri" w:hAnsi="Calibri" w:eastAsia="Calibri" w:cs="Calibri"/>
          <w:i/>
          <w:iCs/>
          <w:color w:val="000000"/>
          <w:sz w:val="22"/>
          <w:szCs w:val="22"/>
        </w:rPr>
        <w:t xml:space="preserve">Alternaria alternata</w:t>
      </w:r>
      <w:r>
        <w:rPr>
          <w:rFonts w:ascii="Calibri" w:hAnsi="Calibri" w:eastAsia="Calibri" w:cs="Calibri"/>
          <w:color w:val="000000"/>
          <w:sz w:val="22"/>
          <w:szCs w:val="22"/>
        </w:rPr>
        <w:t xml:space="preserve"> (Bruton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1926, losses of 500 000 USD to the Californian pepper crop were reported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In the USA, the pepper weevil has caused average crop losses of 10% (Riley &amp; King, 1994). 50 % losses are reported and the loss of whole pepper fields has occurred (Elmore, 1934). Fruit loss can reach 30% to 90% of the yield if treatment is not implemented (Riley &amp; Sparks, 1995). Costello &amp; Gillespie (1993) reported serious damage by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to glasshouse peppers in British Columbia (Canada) in summer 1992, but the outbreak was subsequently eradicated. EPPO (2012) reports the first outbreak in the EPPO region which occurred in 2012 in the Netherlands where the pest was found in several glasshouses producing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This outbreak was eradicated in 2013 (EPPO,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state of Texas (US), 8-15 different insecticide sprays are available to control infestations (Cartwright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Oxamyl was the most effective insecticide in Puerto Rico (Armstrong, 1994). Bud cluster damage of 1-5% was found to be the best threshold for insecticide treatment. Different thresholds have been defined for low and high-input production systems (Riley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Management is difficult and requires precise knowledge of developmental times and thresholds for maximum efficiency (insecticides only target adults). Yellow sticky traps can be used to monitor populations (Riley &amp; Schuster, 1994). There are cultivar differences in susceptibility, mainly arising from the timing of fruit maturation (Berdegue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Canada, successful eradication was achieved by clearing glasshouses of all crop residues, spraying with hydrated lime, removing all standing water, maintaining 20°C or over for at least 10 days and fumigating with a variety of products. The Netherlands used pesticide applications in combination with the destruction of affected crops and growing medium to eradicate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glasshouse infestations. Several Hymenoptera parasitoids have been found in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infested pepper fruits in Mexico and Canada. The most abundant of these larval or egg parasitoids (e.g. the larval parasitoid </w:t>
      </w:r>
      <w:r>
        <w:rPr>
          <w:rFonts w:ascii="Calibri" w:hAnsi="Calibri" w:eastAsia="Calibri" w:cs="Calibri"/>
          <w:i/>
          <w:iCs/>
          <w:color w:val="000000"/>
          <w:sz w:val="22"/>
          <w:szCs w:val="22"/>
        </w:rPr>
        <w:t xml:space="preserve">Catolaccus hunteri</w:t>
      </w:r>
      <w:r>
        <w:rPr>
          <w:rFonts w:ascii="Calibri" w:hAnsi="Calibri" w:eastAsia="Calibri" w:cs="Calibri"/>
          <w:color w:val="000000"/>
          <w:sz w:val="22"/>
          <w:szCs w:val="22"/>
        </w:rPr>
        <w:t xml:space="preserve">) are seen as potential candidates for biological control (DEFRA, 2020).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Because</w:t>
      </w:r>
      <w:r>
        <w:rPr>
          <w:rFonts w:ascii="Calibri" w:hAnsi="Calibri" w:eastAsia="Calibri" w:cs="Calibri"/>
          <w:i/>
          <w:iCs/>
          <w:color w:val="000000"/>
          <w:sz w:val="22"/>
          <w:szCs w:val="22"/>
        </w:rPr>
        <w:t xml:space="preserve"> A. eugenii</w:t>
      </w:r>
      <w:r>
        <w:rPr>
          <w:rFonts w:ascii="Calibri" w:hAnsi="Calibri" w:eastAsia="Calibri" w:cs="Calibri"/>
          <w:color w:val="000000"/>
          <w:sz w:val="22"/>
          <w:szCs w:val="22"/>
        </w:rPr>
        <w:t xml:space="preserve"> is a regulated priority European Union quarantine pest, there are specific import requirements aiming to prevent the entry of the pest via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fruit. It is predominantly a pest of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in tropical or subtropical climates. It has spread from its origin in Mexico to other countries, both some time ago (southern USA) and more recently (Puerto Rico) (Abreu &amp; Cruz, 1985). It could probably be a pest of outdoor crops, and survive outdoors, in southern Europe.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was observed for the first time in the EPPO region in the field in Italy in 2013 (Speranza, 2014), eradication was completed in 2020 (EPPO, 2020). Experience in Canada and the Netherlands shows that it also has the potential to be a serious pest of glasshouse crops in colder countries, although it would not survive outdoors. It has, however, proved possible to eradicate such glasshouse infestations.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capsicum should come from an area where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does not occur or from places of production found free from the pest during the growing season. Within infested countries,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planting material should not come from areas where the pest is present and causing damage and should be free of blossoms and fruit (which may carry the pest). Where overwintering is possible capsicum fields should be destroyed, early and thoroughly, in order to prevent survival (Sorensen &amp; Baker,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Abreu E, Cruz C (1985) The occurrence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Puerto Rico.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223-224.</w:t>
      </w:r>
    </w:p>
    <w:p>
      <w:pPr>
        <w:widowControl w:val="on"/>
        <w:pBdr/>
        <w:spacing w:before="220" w:after="220" w:line="240" w:lineRule="auto"/>
        <w:ind w:left="0" w:right="0"/>
        <w:jc w:val="left"/>
      </w:pPr>
      <w:r>
        <w:rPr>
          <w:rFonts w:ascii="Calibri" w:hAnsi="Calibri" w:eastAsia="Calibri" w:cs="Calibri"/>
          <w:color w:val="000000"/>
          <w:sz w:val="22"/>
          <w:szCs w:val="22"/>
        </w:rPr>
        <w:t xml:space="preserve">Acosta N, Vicente N, Abreu E, Medina-Gaud S (1987) Chemical control of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Rotylenchus reniformis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Andrews KL, Rueda A, Gandini G, Evans S, Arango A, Avedillo M (1986) A supervised control program for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Honduras, Central America.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Armstrong AM (1994) Insecticides to combat damage by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pepper var. Cubanella in Puerto Rico. </w:t>
      </w:r>
      <w:r>
        <w:rPr>
          <w:rFonts w:ascii="Calibri" w:hAnsi="Calibri" w:eastAsia="Calibri" w:cs="Calibri"/>
          <w:i/>
          <w:iCs/>
          <w:color w:val="000000"/>
          <w:sz w:val="22"/>
          <w:szCs w:val="22"/>
        </w:rPr>
        <w:t xml:space="preserve">Journal of Agriculture of the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23-31.</w:t>
      </w:r>
    </w:p>
    <w:p>
      <w:pPr>
        <w:widowControl w:val="on"/>
        <w:pBdr/>
        <w:spacing w:before="220" w:after="220" w:line="240" w:lineRule="auto"/>
        <w:ind w:left="0" w:right="0"/>
        <w:jc w:val="left"/>
      </w:pPr>
      <w:r>
        <w:rPr>
          <w:rFonts w:ascii="Calibri" w:hAnsi="Calibri" w:eastAsia="Calibri" w:cs="Calibri"/>
          <w:color w:val="000000"/>
          <w:sz w:val="22"/>
          <w:szCs w:val="22"/>
        </w:rPr>
        <w:t xml:space="preserve">Berdegue M, Harris MK, Riley DW, Villalon B (1994) Host plant resistance on pepper to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265-271.</w:t>
      </w:r>
    </w:p>
    <w:p>
      <w:pPr>
        <w:widowControl w:val="on"/>
        <w:pBdr/>
        <w:spacing w:before="220" w:after="220" w:line="240" w:lineRule="auto"/>
        <w:ind w:left="0" w:right="0"/>
        <w:jc w:val="left"/>
      </w:pPr>
      <w:r>
        <w:rPr>
          <w:rFonts w:ascii="Calibri" w:hAnsi="Calibri" w:eastAsia="Calibri" w:cs="Calibri"/>
          <w:color w:val="000000"/>
          <w:sz w:val="22"/>
          <w:szCs w:val="22"/>
        </w:rPr>
        <w:t xml:space="preserve">Bruton BD, Chandler LD, Miller ME (1989) Relationships between pepper weevil and internal mold of sweet pepper.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170-173.</w:t>
      </w:r>
    </w:p>
    <w:p>
      <w:pPr>
        <w:widowControl w:val="on"/>
        <w:pBdr/>
        <w:spacing w:before="220" w:after="220" w:line="240" w:lineRule="auto"/>
        <w:ind w:left="0" w:right="0"/>
        <w:jc w:val="left"/>
      </w:pPr>
      <w:r>
        <w:rPr>
          <w:rFonts w:ascii="Calibri" w:hAnsi="Calibri" w:eastAsia="Calibri" w:cs="Calibri"/>
          <w:color w:val="000000"/>
          <w:sz w:val="22"/>
          <w:szCs w:val="22"/>
        </w:rPr>
        <w:t xml:space="preserve">Calvo Domingo G, Pacheco AB, French JB, Alvarado E (1989) [Economic analysis of the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Zacapa, Guatemala]. </w:t>
      </w:r>
      <w:r>
        <w:rPr>
          <w:rFonts w:ascii="Calibri" w:hAnsi="Calibri" w:eastAsia="Calibri" w:cs="Calibri"/>
          <w:i/>
          <w:iCs/>
          <w:color w:val="000000"/>
          <w:sz w:val="22"/>
          <w:szCs w:val="22"/>
        </w:rPr>
        <w:t xml:space="preserve">Manejo Integrado de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31-50.</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(2017)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Cano and Cuban pepper weevil </w:t>
      </w:r>
      <w:r>
        <w:rPr>
          <w:rFonts w:ascii="Calibri" w:hAnsi="Calibri" w:eastAsia="Calibri" w:cs="Calibri"/>
          <w:i/>
          <w:iCs/>
          <w:color w:val="000000"/>
          <w:sz w:val="22"/>
          <w:szCs w:val="22"/>
        </w:rPr>
        <w:t xml:space="preserve">Faustinus cubae</w:t>
      </w:r>
      <w:r>
        <w:rPr>
          <w:rFonts w:ascii="Calibri" w:hAnsi="Calibri" w:eastAsia="Calibri" w:cs="Calibri"/>
          <w:color w:val="000000"/>
          <w:sz w:val="22"/>
          <w:szCs w:val="22"/>
        </w:rPr>
        <w:t xml:space="preserve"> (Boheman) ( Insecta: Coleoptera: Curculionidae). Available at: </w:t>
      </w:r>
      <w:hyperlink r:id="rId974567ce626d0681e" w:history="1">
        <w:r>
          <w:rPr>
            <w:rFonts w:ascii="Calibri" w:hAnsi="Calibri" w:eastAsia="Calibri" w:cs="Calibri"/>
            <w:color w:val="0000CC"/>
            <w:sz w:val="22"/>
            <w:szCs w:val="22"/>
            <w:u w:val="single"/>
          </w:rPr>
          <w:t xml:space="preserve">https://edis.ifas.ufl.edu/in555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Cartwright B, Teague TG, Chandler LD, Edelson JV, Bentsen G (1990) An action threshold for management of the pepper weevil on bell peppers.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2003-2007.</w:t>
      </w:r>
    </w:p>
    <w:p>
      <w:pPr>
        <w:widowControl w:val="on"/>
        <w:pBdr/>
        <w:spacing w:before="220" w:after="220" w:line="240" w:lineRule="auto"/>
        <w:ind w:left="0" w:right="0"/>
        <w:jc w:val="left"/>
      </w:pPr>
      <w:r>
        <w:rPr>
          <w:rFonts w:ascii="Calibri" w:hAnsi="Calibri" w:eastAsia="Calibri" w:cs="Calibri"/>
          <w:color w:val="000000"/>
          <w:sz w:val="22"/>
          <w:szCs w:val="22"/>
        </w:rPr>
        <w:t xml:space="preserve">Clark WE, Burke HR (1996) The species of </w:t>
      </w:r>
      <w:r>
        <w:rPr>
          <w:rFonts w:ascii="Calibri" w:hAnsi="Calibri" w:eastAsia="Calibri" w:cs="Calibri"/>
          <w:i/>
          <w:iCs/>
          <w:color w:val="000000"/>
          <w:sz w:val="22"/>
          <w:szCs w:val="22"/>
        </w:rPr>
        <w:t xml:space="preserve">Anthonomus </w:t>
      </w:r>
      <w:r>
        <w:rPr>
          <w:rFonts w:ascii="Calibri" w:hAnsi="Calibri" w:eastAsia="Calibri" w:cs="Calibri"/>
          <w:color w:val="000000"/>
          <w:sz w:val="22"/>
          <w:szCs w:val="22"/>
        </w:rPr>
        <w:t xml:space="preserve">Germar (Coleoptera: Curculionidae) associated with plants in the family Solanaceae. </w:t>
      </w:r>
      <w:r>
        <w:rPr>
          <w:rFonts w:ascii="Calibri" w:hAnsi="Calibri" w:eastAsia="Calibri" w:cs="Calibri"/>
          <w:i/>
          <w:iCs/>
          <w:color w:val="000000"/>
          <w:sz w:val="22"/>
          <w:szCs w:val="22"/>
        </w:rPr>
        <w:t xml:space="preserve">Southwestern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1-114.</w:t>
      </w:r>
    </w:p>
    <w:p>
      <w:pPr>
        <w:widowControl w:val="on"/>
        <w:pBdr/>
        <w:spacing w:before="220" w:after="220" w:line="240" w:lineRule="auto"/>
        <w:ind w:left="0" w:right="0"/>
        <w:jc w:val="left"/>
      </w:pPr>
      <w:r>
        <w:rPr>
          <w:rFonts w:ascii="Calibri" w:hAnsi="Calibri" w:eastAsia="Calibri" w:cs="Calibri"/>
          <w:color w:val="000000"/>
          <w:sz w:val="22"/>
          <w:szCs w:val="22"/>
        </w:rPr>
        <w:t xml:space="preserve">Costello RA, Gillespie DR (1993)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as a greenhouse pest in Canada.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DEFRA (Department for Environment Food &amp; Rural Affairs) (2020)  Pest specific plant health response plan: Outbreaks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Available at: </w:t>
      </w:r>
      <w:hyperlink r:id="rId582067ce626d06a35" w:history="1">
        <w:r>
          <w:rPr>
            <w:rFonts w:ascii="Calibri" w:hAnsi="Calibri" w:eastAsia="Calibri" w:cs="Calibri"/>
            <w:color w:val="0000CC"/>
            <w:sz w:val="22"/>
            <w:szCs w:val="22"/>
            <w:u w:val="single"/>
          </w:rPr>
          <w:t xml:space="preserve">https://planthealthportal.defra.gov.uk/pests-and-diseases/contingency-planning/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(2020) Pest Survey Card on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EFSA supporting publication 2020:EN-1887. Available at:   </w:t>
      </w:r>
      <w:hyperlink r:id="rId691467ce626d06aa0" w:history="1">
        <w:r>
          <w:rPr>
            <w:rFonts w:ascii="Calibri" w:hAnsi="Calibri" w:eastAsia="Calibri" w:cs="Calibri"/>
            <w:color w:val="0000CC"/>
            <w:sz w:val="22"/>
            <w:szCs w:val="22"/>
            <w:u w:val="single"/>
          </w:rPr>
          <w:t xml:space="preserve">https://efsa.onlinelibrary.wiley.com/doi/abs/10.2903/sp.efsa.2020.EN-1887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Elmore JC, Davis AC, Campbell RE (1934) The pepper weevil. </w:t>
      </w:r>
      <w:r>
        <w:rPr>
          <w:rFonts w:ascii="Calibri" w:hAnsi="Calibri" w:eastAsia="Calibri" w:cs="Calibri"/>
          <w:i/>
          <w:iCs/>
          <w:color w:val="000000"/>
          <w:sz w:val="22"/>
          <w:szCs w:val="22"/>
        </w:rPr>
        <w:t xml:space="preserve">USDA Techical Bulletin</w:t>
      </w:r>
      <w:r>
        <w:rPr>
          <w:rFonts w:ascii="Calibri" w:hAnsi="Calibri" w:eastAsia="Calibri" w:cs="Calibri"/>
          <w:color w:val="000000"/>
          <w:sz w:val="22"/>
          <w:szCs w:val="22"/>
        </w:rPr>
        <w:t xml:space="preserve"> No. 447.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Eradication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Italy. EPPO Reporting Service, article 2020/095: </w:t>
      </w:r>
      <w:hyperlink r:id="rId242067ce626d06b53" w:history="1">
        <w:r>
          <w:rPr>
            <w:rFonts w:ascii="Calibri" w:hAnsi="Calibri" w:eastAsia="Calibri" w:cs="Calibri"/>
            <w:color w:val="0000CC"/>
            <w:sz w:val="22"/>
            <w:szCs w:val="22"/>
            <w:u w:val="single"/>
          </w:rPr>
          <w:t xml:space="preserve">https://gd.eppo.int/reporting/article-6773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46 </w:t>
      </w:r>
      <w:r>
        <w:rPr>
          <w:rFonts w:ascii="Calibri" w:hAnsi="Calibri" w:eastAsia="Calibri" w:cs="Calibri"/>
          <w:color w:val="000000"/>
          <w:sz w:val="22"/>
          <w:szCs w:val="22"/>
        </w:rPr>
        <w:t xml:space="preserve">(3), 501-537. (Under revision new version to be published in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Anthonomus eugenii eradicated</w:t>
      </w:r>
      <w:r>
        <w:rPr>
          <w:rFonts w:ascii="Calibri" w:hAnsi="Calibri" w:eastAsia="Calibri" w:cs="Calibri"/>
          <w:color w:val="000000"/>
          <w:sz w:val="22"/>
          <w:szCs w:val="22"/>
        </w:rPr>
        <w:t xml:space="preserve"> from the Netherlands. EPPO Reporting Service, article 2014/024: </w:t>
      </w:r>
      <w:hyperlink r:id="rId989367ce626d06c09" w:history="1">
        <w:r>
          <w:rPr>
            <w:rFonts w:ascii="Calibri" w:hAnsi="Calibri" w:eastAsia="Calibri" w:cs="Calibri"/>
            <w:color w:val="0000CC"/>
            <w:sz w:val="22"/>
            <w:szCs w:val="22"/>
            <w:u w:val="single"/>
          </w:rPr>
          <w:t xml:space="preserve">https://gd.eppo.int/reporting/article-2744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First report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the Netherlands. EPPO Reporting Service, article 2012/203: </w:t>
      </w:r>
      <w:hyperlink r:id="rId753067ce626d06c59" w:history="1">
        <w:r>
          <w:rPr>
            <w:rFonts w:ascii="Calibri" w:hAnsi="Calibri" w:eastAsia="Calibri" w:cs="Calibri"/>
            <w:color w:val="0000CC"/>
            <w:sz w:val="22"/>
            <w:szCs w:val="22"/>
            <w:u w:val="single"/>
          </w:rPr>
          <w:t xml:space="preserve">https://gd.eppo.int/reporting/article-2409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Gordon R, Armstrong AM (1990) Biology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Puerto Rico.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69-73.</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 MS, Jones RW, Castillo PR (2013) A key to the Mexican and Central America Genera of </w:t>
      </w:r>
      <w:r>
        <w:rPr>
          <w:rFonts w:ascii="Calibri" w:hAnsi="Calibri" w:eastAsia="Calibri" w:cs="Calibri"/>
          <w:i/>
          <w:iCs/>
          <w:color w:val="000000"/>
          <w:sz w:val="22"/>
          <w:szCs w:val="22"/>
        </w:rPr>
        <w:t xml:space="preserve">Anthonomini </w:t>
      </w:r>
      <w:r>
        <w:rPr>
          <w:rFonts w:ascii="Calibri" w:hAnsi="Calibri" w:eastAsia="Calibri" w:cs="Calibri"/>
          <w:color w:val="000000"/>
          <w:sz w:val="22"/>
          <w:szCs w:val="22"/>
        </w:rPr>
        <w:t xml:space="preserve">(Curculionidae, Curculioninae). </w:t>
      </w:r>
      <w:r>
        <w:rPr>
          <w:rFonts w:ascii="Calibri" w:hAnsi="Calibri" w:eastAsia="Calibri" w:cs="Calibri"/>
          <w:i/>
          <w:iCs/>
          <w:color w:val="000000"/>
          <w:sz w:val="22"/>
          <w:szCs w:val="22"/>
        </w:rPr>
        <w:t xml:space="preserve">Zookeys, </w:t>
      </w:r>
      <w:r>
        <w:rPr>
          <w:rFonts w:ascii="Calibri" w:hAnsi="Calibri" w:eastAsia="Calibri" w:cs="Calibri"/>
          <w:b/>
          <w:bCs/>
          <w:color w:val="000000"/>
          <w:sz w:val="22"/>
          <w:szCs w:val="22"/>
        </w:rPr>
        <w:t xml:space="preserve">260</w:t>
      </w:r>
      <w:r>
        <w:rPr>
          <w:rFonts w:ascii="Calibri" w:hAnsi="Calibri" w:eastAsia="Calibri" w:cs="Calibri"/>
          <w:color w:val="000000"/>
          <w:sz w:val="22"/>
          <w:szCs w:val="22"/>
        </w:rPr>
        <w:t xml:space="preserve">, 31-47.</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CW, Wibmer GJ (1982) Annotated checklist of the weevils (Curculionidae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of North America, Central America and the West Indies (Coleoptera: Curculionoidea). </w:t>
      </w:r>
      <w:r>
        <w:rPr>
          <w:rFonts w:ascii="Calibri" w:hAnsi="Calibri" w:eastAsia="Calibri" w:cs="Calibri"/>
          <w:i/>
          <w:iCs/>
          <w:color w:val="000000"/>
          <w:sz w:val="22"/>
          <w:szCs w:val="22"/>
        </w:rPr>
        <w:t xml:space="preserve">Memoirs of the American Entomological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107.</w:t>
      </w:r>
    </w:p>
    <w:p>
      <w:pPr>
        <w:widowControl w:val="on"/>
        <w:pBdr/>
        <w:spacing w:before="220" w:after="220" w:line="240" w:lineRule="auto"/>
        <w:ind w:left="0" w:right="0"/>
        <w:jc w:val="left"/>
      </w:pPr>
      <w:r>
        <w:rPr>
          <w:rFonts w:ascii="Calibri" w:hAnsi="Calibri" w:eastAsia="Calibri" w:cs="Calibri"/>
          <w:color w:val="000000"/>
          <w:sz w:val="22"/>
          <w:szCs w:val="22"/>
        </w:rPr>
        <w:t xml:space="preserve">Patrock RJ, Schuster DJ (1992) Feeding, oviposition and development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on selected species of Solanaceae.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King E (1994) Biology and management of the pepper weevil: a review. </w:t>
      </w:r>
      <w:r>
        <w:rPr>
          <w:rFonts w:ascii="Calibri" w:hAnsi="Calibri" w:eastAsia="Calibri" w:cs="Calibri"/>
          <w:i/>
          <w:iCs/>
          <w:color w:val="000000"/>
          <w:sz w:val="22"/>
          <w:szCs w:val="22"/>
        </w:rPr>
        <w:t xml:space="preserve">Trends in Agricultural Science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109-121</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Schuster DJ (1994) Pepper weevil adult response to colored sticky traps in pepper fields.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93-107.</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Sparks AN (1995) The Pepper Weevil and its Management. Texas Agricultural Extension Service, Texas A &amp; M University. College Station, TX. </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Schuster DJ, Barfield CS (1992) Refined action threshold for pepper weevil adults in bell peppers.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1919-1925.</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Martin CG (2016) Pepper weevil (Coleoptera: Curculionidae) preferences for specific pepper cultivars, plant parts, fruit colors, fruit sizes, and timing.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9. </w:t>
      </w:r>
      <w:hyperlink r:id="rId157067ce626d0703a" w:history="1">
        <w:r>
          <w:rPr>
            <w:rFonts w:ascii="Calibri" w:hAnsi="Calibri" w:eastAsia="Calibri" w:cs="Calibri"/>
            <w:color w:val="0000CC"/>
            <w:sz w:val="22"/>
            <w:szCs w:val="22"/>
            <w:u w:val="single"/>
          </w:rPr>
          <w:t xml:space="preserve">https://doi.org/10.3390/insects7010009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Segarra-Carmona AE, Pantoja A (1988) Sequential sampling plan, yield loss components and economic thresholds for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375-385.</w:t>
      </w:r>
    </w:p>
    <w:p>
      <w:pPr>
        <w:widowControl w:val="on"/>
        <w:pBdr/>
        <w:spacing w:before="220" w:after="220" w:line="240" w:lineRule="auto"/>
        <w:ind w:left="0" w:right="0"/>
        <w:jc w:val="left"/>
      </w:pPr>
      <w:r>
        <w:rPr>
          <w:rFonts w:ascii="Calibri" w:hAnsi="Calibri" w:eastAsia="Calibri" w:cs="Calibri"/>
          <w:color w:val="000000"/>
          <w:sz w:val="22"/>
          <w:szCs w:val="22"/>
        </w:rPr>
        <w:t xml:space="preserve">Sorensen KA, Baker JR (1994) Insects and related pests of vegetables - some important common and potential pests in the southeastern United States.</w:t>
      </w:r>
      <w:r>
        <w:rPr>
          <w:rFonts w:ascii="Calibri" w:hAnsi="Calibri" w:eastAsia="Calibri" w:cs="Calibri"/>
          <w:i/>
          <w:iCs/>
          <w:color w:val="000000"/>
          <w:sz w:val="22"/>
          <w:szCs w:val="22"/>
        </w:rPr>
        <w:t xml:space="preserve"> North Carolina Cooperative </w:t>
      </w:r>
      <w:r>
        <w:rPr>
          <w:rFonts w:ascii="Calibri" w:hAnsi="Calibri" w:eastAsia="Calibri" w:cs="Calibri"/>
          <w:color w:val="000000"/>
          <w:sz w:val="22"/>
          <w:szCs w:val="22"/>
        </w:rPr>
        <w:t xml:space="preserve">102-103.</w:t>
      </w:r>
    </w:p>
    <w:p>
      <w:pPr>
        <w:widowControl w:val="on"/>
        <w:pBdr/>
        <w:spacing w:before="220" w:after="220" w:line="240" w:lineRule="auto"/>
        <w:ind w:left="0" w:right="0"/>
        <w:jc w:val="left"/>
      </w:pPr>
      <w:r>
        <w:rPr>
          <w:rFonts w:ascii="Calibri" w:hAnsi="Calibri" w:eastAsia="Calibri" w:cs="Calibri"/>
          <w:color w:val="000000"/>
          <w:sz w:val="22"/>
          <w:szCs w:val="22"/>
        </w:rPr>
        <w:t xml:space="preserve">Speranza S, Colonnelli E, Garonna AP, Laudonia S (2014) First record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(Coleoptera, Curculionidae) in Italy.</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(2) 844- 845.</w:t>
      </w:r>
    </w:p>
    <w:p>
      <w:pPr>
        <w:widowControl w:val="on"/>
        <w:pBdr/>
        <w:spacing w:before="220" w:after="220" w:line="240" w:lineRule="auto"/>
        <w:ind w:left="0" w:right="0"/>
        <w:jc w:val="left"/>
      </w:pPr>
      <w:r>
        <w:rPr>
          <w:rFonts w:ascii="Calibri" w:hAnsi="Calibri" w:eastAsia="Calibri" w:cs="Calibri"/>
          <w:color w:val="000000"/>
          <w:sz w:val="22"/>
          <w:szCs w:val="22"/>
        </w:rPr>
        <w:t xml:space="preserve">Toapanta MA, Schuster D.J, Sansly PA (2005) Development and life history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(Coleoptera, Curculionidae) at constant temperatures.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34, </w:t>
      </w:r>
      <w:r>
        <w:rPr>
          <w:rFonts w:ascii="Calibri" w:hAnsi="Calibri" w:eastAsia="Calibri" w:cs="Calibri"/>
          <w:color w:val="000000"/>
          <w:sz w:val="22"/>
          <w:szCs w:val="22"/>
        </w:rPr>
        <w:t xml:space="preserve">999-1008.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Brigitta F Wessels.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EPPO datasheets on pests recommended for regulation. Available online. </w:t>
      </w:r>
      <w:hyperlink r:id="rId824867ce626d0729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9186841" name="name136167ce626d073c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1767ce626d073c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815900">
    <w:multiLevelType w:val="hybridMultilevel"/>
    <w:lvl w:ilvl="0" w:tplc="67427734">
      <w:start w:val="1"/>
      <w:numFmt w:val="decimal"/>
      <w:lvlText w:val="%1."/>
      <w:lvlJc w:val="left"/>
      <w:pPr>
        <w:ind w:left="720" w:hanging="360"/>
      </w:pPr>
    </w:lvl>
    <w:lvl w:ilvl="1" w:tplc="67427734" w:tentative="1">
      <w:start w:val="1"/>
      <w:numFmt w:val="lowerLetter"/>
      <w:lvlText w:val="%2."/>
      <w:lvlJc w:val="left"/>
      <w:pPr>
        <w:ind w:left="1440" w:hanging="360"/>
      </w:pPr>
    </w:lvl>
    <w:lvl w:ilvl="2" w:tplc="67427734" w:tentative="1">
      <w:start w:val="1"/>
      <w:numFmt w:val="lowerRoman"/>
      <w:lvlText w:val="%3."/>
      <w:lvlJc w:val="right"/>
      <w:pPr>
        <w:ind w:left="2160" w:hanging="180"/>
      </w:pPr>
    </w:lvl>
    <w:lvl w:ilvl="3" w:tplc="67427734" w:tentative="1">
      <w:start w:val="1"/>
      <w:numFmt w:val="decimal"/>
      <w:lvlText w:val="%4."/>
      <w:lvlJc w:val="left"/>
      <w:pPr>
        <w:ind w:left="2880" w:hanging="360"/>
      </w:pPr>
    </w:lvl>
    <w:lvl w:ilvl="4" w:tplc="67427734" w:tentative="1">
      <w:start w:val="1"/>
      <w:numFmt w:val="lowerLetter"/>
      <w:lvlText w:val="%5."/>
      <w:lvlJc w:val="left"/>
      <w:pPr>
        <w:ind w:left="3600" w:hanging="360"/>
      </w:pPr>
    </w:lvl>
    <w:lvl w:ilvl="5" w:tplc="67427734" w:tentative="1">
      <w:start w:val="1"/>
      <w:numFmt w:val="lowerRoman"/>
      <w:lvlText w:val="%6."/>
      <w:lvlJc w:val="right"/>
      <w:pPr>
        <w:ind w:left="4320" w:hanging="180"/>
      </w:pPr>
    </w:lvl>
    <w:lvl w:ilvl="6" w:tplc="67427734" w:tentative="1">
      <w:start w:val="1"/>
      <w:numFmt w:val="decimal"/>
      <w:lvlText w:val="%7."/>
      <w:lvlJc w:val="left"/>
      <w:pPr>
        <w:ind w:left="5040" w:hanging="360"/>
      </w:pPr>
    </w:lvl>
    <w:lvl w:ilvl="7" w:tplc="67427734" w:tentative="1">
      <w:start w:val="1"/>
      <w:numFmt w:val="lowerLetter"/>
      <w:lvlText w:val="%8."/>
      <w:lvlJc w:val="left"/>
      <w:pPr>
        <w:ind w:left="5760" w:hanging="360"/>
      </w:pPr>
    </w:lvl>
    <w:lvl w:ilvl="8" w:tplc="67427734" w:tentative="1">
      <w:start w:val="1"/>
      <w:numFmt w:val="lowerRoman"/>
      <w:lvlText w:val="%9."/>
      <w:lvlJc w:val="right"/>
      <w:pPr>
        <w:ind w:left="6480" w:hanging="180"/>
      </w:pPr>
    </w:lvl>
  </w:abstractNum>
  <w:abstractNum w:abstractNumId="64815899">
    <w:multiLevelType w:val="hybridMultilevel"/>
    <w:lvl w:ilvl="0" w:tplc="377261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815899">
    <w:abstractNumId w:val="64815899"/>
  </w:num>
  <w:num w:numId="64815900">
    <w:abstractNumId w:val="648159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8339837" Type="http://schemas.microsoft.com/office/2011/relationships/commentsExtended" Target="commentsExtended.xml"/><Relationship Id="rId600017905" Type="http://schemas.microsoft.com/office/2011/relationships/people" Target="people.xml"/><Relationship Id="rId336367ce626d0314d" Type="http://schemas.openxmlformats.org/officeDocument/2006/relationships/hyperlink" Target="https://gd.eppo.int/taxon/ANTHEU/" TargetMode="External"/><Relationship Id="rId464267ce626d031b7" Type="http://schemas.openxmlformats.org/officeDocument/2006/relationships/hyperlink" Target="https://gd.eppo.int/taxon/ANTHEU/categorization" TargetMode="External"/><Relationship Id="rId783467ce626d03a4a" Type="http://schemas.openxmlformats.org/officeDocument/2006/relationships/hyperlink" Target="https://gd.eppo.int/taxon/ANTHEU/photos" TargetMode="External"/><Relationship Id="rId974567ce626d0681e" Type="http://schemas.openxmlformats.org/officeDocument/2006/relationships/hyperlink" Target="https://edis.ifas.ufl.edu/in555" TargetMode="External"/><Relationship Id="rId582067ce626d06a35" Type="http://schemas.openxmlformats.org/officeDocument/2006/relationships/hyperlink" Target="https://planthealthportal.defra.gov.uk/pests-and-diseases/contingency-planning/" TargetMode="External"/><Relationship Id="rId691467ce626d06aa0" Type="http://schemas.openxmlformats.org/officeDocument/2006/relationships/hyperlink" Target="https://efsa.onlinelibrary.wiley.com/doi/abs/10.2903/sp.efsa.2020.EN-1887" TargetMode="External"/><Relationship Id="rId242067ce626d06b53" Type="http://schemas.openxmlformats.org/officeDocument/2006/relationships/hyperlink" Target="https://gd.eppo.int/reporting/article-6773" TargetMode="External"/><Relationship Id="rId989367ce626d06c09" Type="http://schemas.openxmlformats.org/officeDocument/2006/relationships/hyperlink" Target="https://gd.eppo.int/reporting/article-2744" TargetMode="External"/><Relationship Id="rId753067ce626d06c59" Type="http://schemas.openxmlformats.org/officeDocument/2006/relationships/hyperlink" Target="https://gd.eppo.int/reporting/article-2409" TargetMode="External"/><Relationship Id="rId157067ce626d0703a" Type="http://schemas.openxmlformats.org/officeDocument/2006/relationships/hyperlink" Target="https://doi.org/10.3390/insects7010009" TargetMode="External"/><Relationship Id="rId824867ce626d0729e" Type="http://schemas.openxmlformats.org/officeDocument/2006/relationships/hyperlink" Target="https://gd.eppo.int" TargetMode="External"/><Relationship Id="rId483667ce626d03923" Type="http://schemas.openxmlformats.org/officeDocument/2006/relationships/image" Target="media/imgrId483667ce626d03923.jpg"/><Relationship Id="rId571967ce626d050a8" Type="http://schemas.openxmlformats.org/officeDocument/2006/relationships/image" Target="media/imgrId571967ce626d050a8.jpg"/><Relationship Id="rId521767ce626d073c3" Type="http://schemas.openxmlformats.org/officeDocument/2006/relationships/image" Target="media/imgrId521767ce626d073c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