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grandis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grandis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cotton boll weevil, boll weevil, cotton boll weevil, thurberia weevil</w:t>
            </w:r>
            <w:hyperlink r:id="rId36046684fced52a3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276684fced52aa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535141" name="name40516684fced5316e" descr="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jpg"/>
                          <pic:cNvPicPr/>
                        </pic:nvPicPr>
                        <pic:blipFill>
                          <a:blip r:embed="rId48316684fced5316c" cstate="print"/>
                          <a:stretch>
                            <a:fillRect/>
                          </a:stretch>
                        </pic:blipFill>
                        <pic:spPr>
                          <a:xfrm>
                            <a:off x="0" y="0"/>
                            <a:ext cx="2160000" cy="1281600"/>
                          </a:xfrm>
                          <a:prstGeom prst="rect">
                            <a:avLst/>
                          </a:prstGeom>
                          <a:ln w="0">
                            <a:noFill/>
                          </a:ln>
                        </pic:spPr>
                      </pic:pic>
                    </a:graphicData>
                  </a:graphic>
                </wp:inline>
              </w:drawing>
            </w:r>
            <w:hyperlink r:id="rId51916684fced5328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forms or subspecies of boll weevils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have been described, although only two subspecies have been validated by integrative taxonomy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most economically important is the Southeastern American boll weevil,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Another subspecies is </w:t>
      </w:r>
      <w:r>
        <w:rPr>
          <w:rFonts w:ascii="Calibri" w:hAnsi="Calibri" w:eastAsia="Calibri" w:cs="Calibri"/>
          <w:i/>
          <w:iCs/>
          <w:color w:val="000000"/>
          <w:sz w:val="22"/>
          <w:szCs w:val="22"/>
        </w:rPr>
        <w:t xml:space="preserve">Anthonomus grandis thurberiae</w:t>
      </w:r>
      <w:r>
        <w:rPr>
          <w:rFonts w:ascii="Calibri" w:hAnsi="Calibri" w:eastAsia="Calibri" w:cs="Calibri"/>
          <w:color w:val="000000"/>
          <w:sz w:val="22"/>
          <w:szCs w:val="22"/>
        </w:rPr>
        <w:t xml:space="preserve">. The third form, the Mexican boll weevil, has intermediate morphological characters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Roehrdanz, 2001). However, all forms are morphologically similar, which makes practical identification difficult, especially because when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is reared on cultivated cotton or artificial diets, it tends to lose diagnostic morphological traits that allow distinction from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Recent studies have confirmed that populations found in cotton growing areas in South America are closely related to the Eastern lineage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(Raszick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provides data on the economically important species </w:t>
      </w:r>
      <w:r>
        <w:rPr>
          <w:rFonts w:ascii="Calibri" w:hAnsi="Calibri" w:eastAsia="Calibri" w:cs="Calibri"/>
          <w:i/>
          <w:iCs/>
          <w:color w:val="000000"/>
          <w:sz w:val="22"/>
          <w:szCs w:val="22"/>
        </w:rPr>
        <w:t xml:space="preserve">Anthonomus grandis grandis.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cotton, including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wild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Marginal reproduction has also been observed on the ornamental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Feeding and foraging on pollen have been reported on a number of different hosts from a number of plant families (Hardee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Jones and Coppedge,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cotton is the only host to be considered. Wild Malvaceae might be attacked and act as reservoirs.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rosei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harknessii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nutricia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rovirosae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is present across cotton growing areas in the Americas (South, Central, and North). From Mexico, the species spread into the United States of America in 1892, with the first report in the Lower Rio Grande Valley, Texas (Brazzel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since spread throughout the cotton growing area in the USA before the initiation of an eradication programme in the 1970s (Perkins, 1980; Raszick, 2021). Due to the success of the eradication programme,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eradicated from 98% of the cotton growing region in the USA (USDA,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 is present throughout Central America. In South America,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reported in Venezuela (1949), Colombia (1951)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Brazil (1983)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Paraguay (1991), Argentina (1984), and Bolivia (1999) (Stadler and Buteler, 2007).</w:t>
      </w:r>
    </w:p>
    <w:p>
      <w:r>
        <w:drawing>
          <wp:inline distT="0" distB="0" distL="0" distR="0">
            <wp:extent cx="6120000" cy="3067200"/>
            <wp:docPr id="91382428" name="name78556684fced545ce" descr="ANTH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GR_distribution_map.jpg"/>
                    <pic:cNvPicPr/>
                  </pic:nvPicPr>
                  <pic:blipFill>
                    <a:blip r:embed="rId91056684fced545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Dominican Republic, El Salvador, Guatemala, Haiti, Honduras, Martinique, Nicaragua, St Kitts-Nevis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Bahia, Ceara, Distrito Federal, Goias, Maranhao, Mato Grosso, Mato Grosso do Sul, Minas Gerais, Paraiba, Parana, Pernambuco, Piaui, Rio Grande do Norte, Sao Paulo), Colombia,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post-embryonic development of the boll weevil undergoes three larval instars, the pupal stage, the pre-emergent adult stage, and finally, the adult stage. When feeding on large flower buds, developmental times for larva, pupa, and pre-emergent adult stages last, on average, 7.7, 2.0, and 4.2 days, respectively,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start laying eggs after reaching reproduction maturation (≈3-4 days old). Females puncture the cotton fruiting structures to lay their eggs, usually one egg per structure. However, there can be more than one egg per structure, especially in late developing bolls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Oviposition punctures form small protrusions and differ from feeding punctures, which are small, uncapped holes. Despite the plasticity in laying eggs on flower buds, flowers, and bolls, females prefer to lay eggs on larger flower buds (5.5 to 8.0 mm) (Showler, 2005). One female can lay seven to 11 eggs per day for up to 21 days (Lloyd, 1986), depending on the female age, availability of flower buds, and environmental conditions. Egg incubation lasts, on average, 2.1 days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with the larvae showing developed head capsules and appendices seen through the chorion near the hatching time.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completing development, the larvae moults and becomes a pupa inside a cell located inside infested buds and bolls. This structure will protect the adults formed, until they emerge from this structure (which may fall to the ground or remain on the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can migrate long distances and it can disperse short distances.  It  hibernates in forest litter or on various malvaceous hosts, including regrowth cotton in warmer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high mortality rate in weevil populations interseason. About 95% of the hibernating adults die. Furthermore, heat, dry weather, natural enemies, and birds help materially to check rapid multiplication. Without such natural interference, the offspring of a single pair of boll weevils could amount to several million in one season. Under favourable conditions, the life cycle of A. grandis grandis is completed in 17-21 days, and as many as seven generations may develop in a year in the extreme southern part of the Cotton Belt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 weevils can feed on leaves and petioles, they only lay eggs on reproductive structures (Showler, 2007). Therefore, adults are commonly found in the flower buds and bolls protected by the bracts and in the centre of open flowers during warmer hours and are rarely seen on other parts of the plants. Because adults are not easily seen in the field, in the absence of the insect, the occurrence is assessed through damaged reproductive structures (buds, flowers, and bolls). As adults prefer flower buds over bolls for feeding and oviposition, they are most often seen in flower buds, especially the large (5.5-8.0 mm diameter) as well as the medium (3.0-5.4 mm diameter) sizes. Feeding and oviposition cause punctures at the base of flower buds, flowers, and bolls.</w:t>
      </w:r>
    </w:p>
    <w:p>
      <w:pPr>
        <w:widowControl w:val="on"/>
        <w:pBdr/>
        <w:spacing w:before="220" w:after="220" w:line="240" w:lineRule="auto"/>
        <w:ind w:left="0" w:right="0"/>
        <w:jc w:val="both"/>
      </w:pPr>
      <w:r>
        <w:rPr>
          <w:rFonts w:ascii="Calibri" w:hAnsi="Calibri" w:eastAsia="Calibri" w:cs="Calibri"/>
          <w:color w:val="000000"/>
          <w:sz w:val="22"/>
          <w:szCs w:val="22"/>
        </w:rPr>
        <w:t xml:space="preserve">The bracteoles of oviposited flower buds spread out and turn yellow, and five to nine days after infestation, they turn brown and fall off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Showler and Cantú, 2005).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Oviposited small bolls (up to one week after anthesis) also fall off. Older infested bolls, containing larvae and pupae, remain on the plants and open irregularly or do not open. Signs of adults feeding on plants terminal shoots and young leaves can be seen before the flowering stage. After moulting into adults, weevils leave fallen or retained structures through exits 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slightly elliptical, opaque 1 mm long (Leigh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larvae are C-shaped, legless, white to cream-colored, have a brown head, and strong mandibles. They can grow up to 13 mm long when fully developed.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6-8 mm long, white to cream-colored, and resemble adults with visible legs, eyes, and mouthparts. According to Anderson (1968), female pupae can be distinguished from male pupae by the presence of a pair of lobes present near the anal opening in females, which are absent in 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5 to 8 mm long, with body weight varying as a function of food availability during the larval stage, reaching up to 20 mg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Larger adults, up to 24 mg, occur when larvae develop on bolls than on flower buds. The adult has a long, slender rostrum bearing the pair of antennae geniculate (=elbowed) nearer the tip than the base. The mouthparts are at the end of the rostrum. Two larger and one smaller spine are easily seen on the inner side of the femur of the front legs.. Eyes are large, convex, and sloping dorsally, in front at the base of the rostrum. Adults vary from brownish-red when recently molted to the adult stage to near black with aging. The pronotum and elytra are covered by dense, whitish pubescence. The male rostrum is less smooth than that of females and has more pits, pores, and scales. The female rostrum is usually larger and flatter than the male’s (Soto and Reyes,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posterior edge of the last tergite of the male (8th tergite), is notched in males and not in females (comparative pictures available at Agee, 1964; Sappington and Spurgeon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cotton plants is used to survey for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but it can be difficult in large cotton fields, plants with dense foliage, and dense fruiting structures. In addition to the cryptic development the weevils as described above, adult boll weevils exhibit thanatosis (death feigning) when disturbed. At high levels of infestation, adults can be seen on the upper parts of the plants during the warmer hours of the day.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can be detected by using traps containing sex-and-aggregation pheromones. Traps containing rubber septum impregnated with pheromone are widely used to catch weevils when dispersing. Different tools have been tested, combining pheromones as an attractant and glue to hold the attracted weevils, or pheromone and the surface treated with an insecticide.</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the high efficacy of these tools in attracting and capturing weevils in certain circumstances, the efficacy of traps can be reduced due to the competition with the abundance of host and food availability and females inside the field. Kairomones have been incorporated in the mix with the aggregation pheromones to attempt to increase effectiveness (Magalhães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sequences from a segment of the mitochondrial cytochrome C oxidase subunit I (COI) gene can be used to separate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boll weevils may be carried with cotton seeds or bolls, with raw cotton and various cotton products (EFSA, 2017). Additionally, ornamental Malvaceae plants for planting (e.g.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spp.) may be a pathway for movement though it should be noted that only marginal reproduction is shown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can occur through flight and walking. The dispersal of adults right after emergence from fallen buds is predominantly achieved by walking to reach the base of nearby plants. In arid areas, thermal convection may disperse flying adult weevils over long distances. In central Texas, the greatest dispersal occurs from mid-August to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Boll weevil has been one of the most important pests on cotton in the USA (Schwartz, 1983; Williams, 1997). Since its entry into Texas (USA) in the 1890s,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destroyed and reduced the quality of several billion USD worth of cotton, in an area of over 3 million ha. In the 1970s, USA cotton producers lost 200 million USD or more annually with suppression costing an additional 75 million USD annually; in fact, nearly one third of all pesticides applied to crops in the USA in the 1970s were used to control this pest.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largely under control in the USA, though the pest still causes significant economic damage to cotton in South America (Burbano-Figueroa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Suppressing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populations requires the adoption of different control tactics of Integrated Pest Management in the cotton crops. Their efficacy and use depend on the production system adopted from low- to high-input conventional cropping systems. Preventive tactics can be applied field-by-field but these have more efficacy when applied regionally. These are cultural control practices aimed at avoiding pest infestation. Collecting and destroying fallen fruiting structures in small fields can reduce population growth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trap crops established by seeding a strip of cotton plants earlier on the border of the definitive fields can detect infestation so that the grower can take localized curative control, reducing the number of future generations. Other measures, such as the adoption of adequate row spacing (Paim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suitable planting dates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good control of cotton volunteer plants reduce the overall pest populations that can cause outbreaks.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control measures could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 Biotechnological control: transgenic Bt-cotton has been tried but not successfully obtained up to date; likewise, the use of the sterile insect technique (SIT) has been developed; use of pheromones (e.g. the aggregation pheromone grand lure) for mass-trapping is the most applied tool to detect boll weevil populations at the beginning of cultivation (when the cotton plants do not have reproductive structures).</w:t>
      </w:r>
      <w:r>
        <w:rPr>
          <w:rFonts w:ascii="Calibri" w:hAnsi="Calibri" w:eastAsia="Calibri" w:cs="Calibri"/>
          <w:color w:val="000000"/>
          <w:sz w:val="22"/>
          <w:szCs w:val="22"/>
        </w:rPr>
        <w:br/>
        <w:t xml:space="preserve">- Biological control: conservation biological control; inundative biological control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mass release of the parasitoid </w:t>
      </w:r>
      <w:r>
        <w:rPr>
          <w:rFonts w:ascii="Calibri" w:hAnsi="Calibri" w:eastAsia="Calibri" w:cs="Calibri"/>
          <w:i/>
          <w:iCs/>
          <w:color w:val="000000"/>
          <w:sz w:val="22"/>
          <w:szCs w:val="22"/>
        </w:rPr>
        <w:t xml:space="preserve">Catolaccus grandis</w:t>
      </w:r>
      <w:r>
        <w:rPr>
          <w:rFonts w:ascii="Calibri" w:hAnsi="Calibri" w:eastAsia="Calibri" w:cs="Calibri"/>
          <w:color w:val="000000"/>
          <w:sz w:val="22"/>
          <w:szCs w:val="22"/>
        </w:rPr>
        <w:t xml:space="preserve"> (Hymenoptera: Pteromalidae).</w:t>
      </w:r>
      <w:r>
        <w:rPr>
          <w:rFonts w:ascii="Calibri" w:hAnsi="Calibri" w:eastAsia="Calibri" w:cs="Calibri"/>
          <w:color w:val="000000"/>
          <w:sz w:val="22"/>
          <w:szCs w:val="22"/>
        </w:rPr>
        <w:br/>
        <w:t xml:space="preserve">- Chemical control: use of different pesticides is the most common curative tactic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often timed according to captures in pheromone traps, and applied after reaching 3-5% flower bud infestation with up to five applications, spaced 5 days to kill all adults as they emerge.</w:t>
      </w:r>
      <w:r>
        <w:rPr>
          <w:rFonts w:ascii="Calibri" w:hAnsi="Calibri" w:eastAsia="Calibri" w:cs="Calibri"/>
          <w:color w:val="000000"/>
          <w:sz w:val="22"/>
          <w:szCs w:val="22"/>
        </w:rPr>
        <w:br/>
        <w:t xml:space="preserve">- Use of less preferred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essentially a subtropical pest, so that the cotton-growing area at greatest risk in the EPPO region would be the Mediterranean zone. It is questionable whether the weevil could survive the low winter temperatures of the Central Asian cotton-growing areas. For many years,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was confined in the USA to the more humid regions of the south, where there were significant amounts of summer rainfall. It was assumed that the insect could not survive in the hot, arid regions of the south-west. In the early 1950s, however, it gradually moved westward into some of these formerly unoccupied areas, and this further confirms the risk to Mediterranean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may include that cotton growing countries in the EPPO region can source seed or bolls of cotton from an area free from the pest (Pest Free Area). Raw cotton from the same origin (including waste fabric, waste cotton, cotton seed cake, meal, and bags that have been used as a container for lint or any form of unmanufactured cotton) can be treated in such a way that the material will be free from the pest. See EPPO (2018) for fumigation of cotton and cotton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Agee HR (1964) Characters for determination of sex of the boll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(1968) Observations on the pupae of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Boheman and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Pierce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Alvarado A, Jones RW, Pedraza-Lara C, Villanueva OA &amp; Pfeiler E (2017) Reassessment of the phylogeography and intraspecific relationships of western and eastern populations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North America.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S, Braga Sobrinho R, Lukefahr MJ &amp; Beingolea GO (1983) Relatório sobre a ocorrência do bicudo do algodoeiro,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‘boll weevil’, no Brasil, e recomendações para a sua erradicação. Campina Grande. EMBRAPA-CNPA, 12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 Ruiz-Arce R, Obregón O, de Leon R, Foster N, Reuter C, Boratynski T &amp; Vacek D (2013) Molecular diagnosis of populational variants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437–449.</w:t>
      </w:r>
    </w:p>
    <w:p>
      <w:pPr>
        <w:widowControl w:val="on"/>
        <w:pBdr/>
        <w:spacing w:before="220" w:after="220" w:line="240" w:lineRule="auto"/>
        <w:ind w:left="0" w:right="0"/>
        <w:jc w:val="left"/>
      </w:pPr>
      <w:r>
        <w:rPr>
          <w:rFonts w:ascii="Calibri" w:hAnsi="Calibri" w:eastAsia="Calibri" w:cs="Calibri"/>
          <w:color w:val="000000"/>
          <w:sz w:val="22"/>
          <w:szCs w:val="22"/>
        </w:rPr>
        <w:t xml:space="preserve">Brazzel JR, Smith JW &amp; Knipling EF (1996) Boll weevil eradication. In: King EG, Phillips JR, Coleman RJ (eds.)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Memphis: The Cotton Foundation Publisher, pp. 625-654.</w:t>
      </w:r>
    </w:p>
    <w:p>
      <w:pPr>
        <w:widowControl w:val="on"/>
        <w:pBdr/>
        <w:spacing w:before="220" w:after="220" w:line="240" w:lineRule="auto"/>
        <w:ind w:left="0" w:right="0"/>
        <w:jc w:val="left"/>
      </w:pPr>
      <w:r>
        <w:rPr>
          <w:rFonts w:ascii="Calibri" w:hAnsi="Calibri" w:eastAsia="Calibri" w:cs="Calibri"/>
          <w:color w:val="000000"/>
          <w:sz w:val="22"/>
          <w:szCs w:val="22"/>
        </w:rPr>
        <w:t xml:space="preserve">Burbano-Figueroa O, Sierra-Monroy A, Martinez LG, Borgemeister C &amp; Luedeling E (2021) Management of the boll weevil (Coleoptera: Curculionidae) in the Colombian Caribbean: a conceptual model.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24046684fced55394" w:history="1">
        <w:r>
          <w:rPr>
            <w:rFonts w:ascii="Calibri" w:hAnsi="Calibri" w:eastAsia="Calibri" w:cs="Calibri"/>
            <w:color w:val="0000CC"/>
            <w:sz w:val="22"/>
            <w:szCs w:val="22"/>
            <w:u w:val="single"/>
          </w:rPr>
          <w:t xml:space="preserve">https://doi.org/10.1093/jipm/pmab009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Burke HR, Clark WE, Cate JR &amp; Fryxell PA (1986) Origin and dispersal of the boll weevil.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228–238.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Candresse T, Chatzivassiliou E, Dehnen-Schmutz K, Gilioli G, Gregoire J-C, Jaques Miret JA, Navarro MN, Niere B,Parnell S, Potting R, Rafoss T, Rossi V, Urek G, Van Bruggen A, Van der Werf W, West J, Winter S, Gardi C, Bergeretti F &amp; MacLeod A (2017) Scientific opinion on the pest categorisation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5074. </w:t>
      </w:r>
      <w:hyperlink r:id="rId14796684fced5547c" w:history="1">
        <w:r>
          <w:rPr>
            <w:rFonts w:ascii="Calibri" w:hAnsi="Calibri" w:eastAsia="Calibri" w:cs="Calibri"/>
            <w:color w:val="0000CC"/>
            <w:sz w:val="22"/>
            <w:szCs w:val="22"/>
            <w:u w:val="single"/>
          </w:rPr>
          <w:t xml:space="preserve">https://doi.org/10.2903/j.efsa. 2017.5074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10/25 Fumigation of cotton and cotton products to control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Sétamou M, Sappington TW, Liu TX, Coleman RJ &amp; Armstrong JS (2005a) Temperature-dependent development and reproduction of the boll weevil (Coleoptera: Curculionidae). </w:t>
      </w:r>
      <w:r>
        <w:rPr>
          <w:rFonts w:ascii="Calibri" w:hAnsi="Calibri" w:eastAsia="Calibri" w:cs="Calibri"/>
          <w:i/>
          <w:iCs/>
          <w:color w:val="000000"/>
          <w:sz w:val="22"/>
          <w:szCs w:val="22"/>
        </w:rPr>
        <w:t xml:space="preserve">Insect Science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Spurgeon DW, Sappington TW &amp; Sétamou M (2005b) Size-dependent feeding and reproduction by boll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749-756.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(1999) Foraging resources of boll weevils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860–869.</w:t>
      </w:r>
    </w:p>
    <w:p>
      <w:pPr>
        <w:widowControl w:val="on"/>
        <w:pBdr/>
        <w:spacing w:before="220" w:after="220" w:line="240" w:lineRule="auto"/>
        <w:ind w:left="0" w:right="0"/>
        <w:jc w:val="left"/>
      </w:pPr>
      <w:r>
        <w:rPr>
          <w:rFonts w:ascii="Calibri" w:hAnsi="Calibri" w:eastAsia="Calibri" w:cs="Calibri"/>
          <w:color w:val="000000"/>
          <w:sz w:val="22"/>
          <w:szCs w:val="22"/>
        </w:rPr>
        <w:t xml:space="preserve">Leigh TF, Roach SH &amp; Watson TF (1996) Biology and ecology of important insect and mite pests of cotton. In King EG, Phillips JR, Coleman RJ(eds.)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No. 3. The Cotton Foundation Reference Book Series. Memphis, Tennessee, pp. 17-85.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EP (1986) Ecologia do bicudo do algodoeiro. In: Barbosa S, Lukefahr MJ, Braga Sobrinho RO (eds) </w:t>
      </w:r>
      <w:r>
        <w:rPr>
          <w:rFonts w:ascii="Calibri" w:hAnsi="Calibri" w:eastAsia="Calibri" w:cs="Calibri"/>
          <w:i/>
          <w:iCs/>
          <w:color w:val="000000"/>
          <w:sz w:val="22"/>
          <w:szCs w:val="22"/>
        </w:rPr>
        <w:t xml:space="preserve">Bicudo do algodoeiro.</w:t>
      </w:r>
      <w:r>
        <w:rPr>
          <w:rFonts w:ascii="Calibri" w:hAnsi="Calibri" w:eastAsia="Calibri" w:cs="Calibri"/>
          <w:color w:val="000000"/>
          <w:sz w:val="22"/>
          <w:szCs w:val="22"/>
        </w:rPr>
        <w:t xml:space="preserve"> Brasília, Embrapa, pp.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Magalhães DM, Borges M, Laumann RA, Woodcock CM, Pickett JA, Birkett MA &amp; Blassioli-Moraes MC (2016) Influence of two acyclic homoterpenes (tetranorterpenes) on the foraging behavior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Neves RCS, Showler AT, Pinto ES, Bastos CS &amp; Torres JB (2013) Reducing boll weevil populations by clipping terminal buds and removing abscised fruiting bodies. </w:t>
      </w:r>
      <w:r>
        <w:rPr>
          <w:rFonts w:ascii="Calibri" w:hAnsi="Calibri" w:eastAsia="Calibri" w:cs="Calibri"/>
          <w:i/>
          <w:iCs/>
          <w:color w:val="000000"/>
          <w:sz w:val="22"/>
          <w:szCs w:val="22"/>
        </w:rPr>
        <w:t xml:space="preserve">Entomology Experimental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Paim EA, Dias AM, Showler AT, Campos KL, Santos AAO, Castro PPG &amp; Bastos CS(2021) Cotton row spacing for boll weevil management in low-input production systems.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105614.</w:t>
      </w:r>
    </w:p>
    <w:p>
      <w:pPr>
        <w:widowControl w:val="on"/>
        <w:pBdr/>
        <w:spacing w:before="220" w:after="220" w:line="240" w:lineRule="auto"/>
        <w:ind w:left="0" w:right="0"/>
        <w:jc w:val="left"/>
      </w:pPr>
      <w:r>
        <w:rPr>
          <w:rFonts w:ascii="Calibri" w:hAnsi="Calibri" w:eastAsia="Calibri" w:cs="Calibri"/>
          <w:color w:val="000000"/>
          <w:sz w:val="22"/>
          <w:szCs w:val="22"/>
        </w:rPr>
        <w:t xml:space="preserve">Parrott WL, Maxwell FG &amp; Jenkins JN (1966) Feeding and oviposition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on the rose-of-Sharon, an alternate host.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Perkins JH (1980) Boll weevil eradication.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1044-1050.</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TY (2021) Boll weevil eradication: a success story of science in the service of policy and industry.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702-708.</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TJ, Dickens CM, Perkin LC, Tessnow AE, Suh C, Ruiz-Arce R, Boratynski TN, Falco MR, Johnston JS &amp; Sword GA (2021) Population genomics and phylogeography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the United States, northern Mexico, and Argentina.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1778-1793.</w:t>
      </w:r>
    </w:p>
    <w:p>
      <w:pPr>
        <w:widowControl w:val="on"/>
        <w:pBdr/>
        <w:spacing w:before="220" w:after="220" w:line="240" w:lineRule="auto"/>
        <w:ind w:left="0" w:right="0"/>
        <w:jc w:val="left"/>
      </w:pPr>
      <w:r>
        <w:rPr>
          <w:rFonts w:ascii="Calibri" w:hAnsi="Calibri" w:eastAsia="Calibri" w:cs="Calibri"/>
          <w:color w:val="000000"/>
          <w:sz w:val="22"/>
          <w:szCs w:val="22"/>
        </w:rPr>
        <w:t xml:space="preserve">Roehrdanz R (2001) Genetic differentiation of Southeastern boll weevil and Thurberia weevil populations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using mitochondrial DNA.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928-935.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PJ, Dias AM, Campos KL, Araújo ACA, Oliveira AAS, Suinaga FA, Torres JB &amp; Bastos CS (2023) Planting date of cotton in the Brazilian Cerrado drives boll weevil (Coleoptera: Curculionidae) infestation.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599.</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&amp; Spurgeon DW (2000) Preferred technique for adult sex determination of the boll weevil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610–615.</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Confalonieri VA &amp; Lanteri AA (2000) Dispersal of the cotton boll weevil in South America: evidence of the RAPDs analysis. </w:t>
      </w:r>
      <w:r>
        <w:rPr>
          <w:rFonts w:ascii="Calibri" w:hAnsi="Calibri" w:eastAsia="Calibri" w:cs="Calibri"/>
          <w:i/>
          <w:iCs/>
          <w:color w:val="000000"/>
          <w:sz w:val="22"/>
          <w:szCs w:val="22"/>
        </w:rPr>
        <w:t xml:space="preserve">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(2005) Relationships of different cotton square sizes to boll weevil (Coleoptera: Curculionidae) feeding and oviposition in field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1572-1579.</w:t>
      </w:r>
    </w:p>
    <w:p>
      <w:pPr>
        <w:widowControl w:val="on"/>
        <w:pBdr/>
        <w:spacing w:before="220" w:after="220" w:line="240" w:lineRule="auto"/>
        <w:ind w:left="0" w:right="0"/>
        <w:jc w:val="left"/>
      </w:pPr>
      <w:r>
        <w:rPr>
          <w:rFonts w:ascii="Calibri" w:hAnsi="Calibri" w:eastAsia="Calibri" w:cs="Calibri"/>
          <w:color w:val="000000"/>
          <w:sz w:val="22"/>
          <w:szCs w:val="22"/>
        </w:rPr>
        <w:t xml:space="preserve">Schwartz PH (1983) Losses in yield of cotton due to insects. Agriculture Handbook, USDA, No. 589, 329-358.</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(2007) Subtropical boll weevil ecology. </w:t>
      </w:r>
      <w:r>
        <w:rPr>
          <w:rFonts w:ascii="Calibri" w:hAnsi="Calibri" w:eastAsia="Calibri" w:cs="Calibri"/>
          <w:i/>
          <w:iCs/>
          <w:color w:val="000000"/>
          <w:sz w:val="22"/>
          <w:szCs w:val="22"/>
        </w:rPr>
        <w:t xml:space="preserve">American Entomologist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240-249.</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&amp; Cantú RV (2005) Intervals between boll weevil (Coleoptera: Curculionidae) oviposition and square abscission, and development to adulthood in Lower Rio Grande Valley, Texas, field conditions.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Soto M &amp; Reyes P (2014) New distributional records of two species of </w:t>
      </w:r>
      <w:r>
        <w:rPr>
          <w:rFonts w:ascii="Calibri" w:hAnsi="Calibri" w:eastAsia="Calibri" w:cs="Calibri"/>
          <w:i/>
          <w:iCs/>
          <w:color w:val="000000"/>
          <w:sz w:val="22"/>
          <w:szCs w:val="22"/>
        </w:rPr>
        <w:t xml:space="preserve">Anthonomocyllus</w:t>
      </w:r>
      <w:r>
        <w:rPr>
          <w:rFonts w:ascii="Calibri" w:hAnsi="Calibri" w:eastAsia="Calibri" w:cs="Calibri"/>
          <w:color w:val="000000"/>
          <w:sz w:val="22"/>
          <w:szCs w:val="22"/>
        </w:rPr>
        <w:t xml:space="preserve"> (Curculionidae, Anthonomini) for Mexico.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292-295.</w:t>
      </w:r>
    </w:p>
    <w:p>
      <w:pPr>
        <w:widowControl w:val="on"/>
        <w:pBdr/>
        <w:spacing w:before="220" w:after="220" w:line="240" w:lineRule="auto"/>
        <w:ind w:left="0" w:right="0"/>
        <w:jc w:val="left"/>
      </w:pPr>
      <w:r>
        <w:rPr>
          <w:rFonts w:ascii="Calibri" w:hAnsi="Calibri" w:eastAsia="Calibri" w:cs="Calibri"/>
          <w:color w:val="000000"/>
          <w:sz w:val="22"/>
          <w:szCs w:val="22"/>
        </w:rPr>
        <w:t xml:space="preserve">Stadler T &amp; Buteler M (2007) Migration and dispersal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South America.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205-217.</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JB, Rolim GG, Arruda LS, Santos MP, Leite SA &amp; Never RC (2022) Insecticides in use and risk of control failure of boll weevil (Coleoptera: Curculionidae) in the Brazilian Cerrado.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613–627.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(2022) History highlight: APHIS launces large-scale boll weevil eradication program. USDA. Available at: </w:t>
      </w:r>
      <w:hyperlink r:id="rId95606684fced55d89" w:history="1">
        <w:r>
          <w:rPr>
            <w:rFonts w:ascii="Calibri" w:hAnsi="Calibri" w:eastAsia="Calibri" w:cs="Calibri"/>
            <w:color w:val="0000CC"/>
            <w:sz w:val="22"/>
            <w:szCs w:val="22"/>
            <w:u w:val="single"/>
          </w:rPr>
          <w:t xml:space="preserve">https://www.aphis.usda.gov/aphis/newsroom/stakeholder-info/SA_By_Date/SA-2022/aphis50-boll-weevil-eradication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MR (1997) Cotton insect losses 1979-1996. In Proceedings of the 1997 Beltwide Cotton Conferences. Memphis, USA: National Cotton Council, 2, 854-856.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Cristina Schetino Bastos (Faculdade de Agronomia e Medicina Veterinária, Universidade de Brasília, Campus Darcy Ribeiro, Brasília, Distrito Federal, Brazil) and Jorge Braz Torres (Departamento de Agronomia - Entomologia, Universidade Federal Rural de Pernambuco, Recife, Pernambuco,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EPPO datasheets on pests recommended for regulation. Available online. </w:t>
      </w:r>
      <w:hyperlink r:id="rId15396684fced55e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34: </w:t>
      </w:r>
      <w:r>
        <w:rPr>
          <w:rFonts w:ascii="Calibri" w:hAnsi="Calibri" w:eastAsia="Calibri" w:cs="Calibri"/>
          <w:i/>
          <w:iCs/>
          <w:color w:val="000000"/>
          <w:sz w:val="22"/>
          <w:szCs w:val="22"/>
        </w:rPr>
        <w:t xml:space="preserve">Anthonomus grandis.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4 pp. </w:t>
      </w:r>
      <w:hyperlink r:id="rId44916684fced55fb1" w:history="1">
        <w:r>
          <w:rPr>
            <w:rFonts w:ascii="Calibri" w:hAnsi="Calibri" w:eastAsia="Calibri" w:cs="Calibri"/>
            <w:color w:val="0000CC"/>
            <w:sz w:val="22"/>
            <w:szCs w:val="22"/>
            <w:u w:val="single"/>
          </w:rPr>
          <w:t xml:space="preserve">https://onlinelibrary.wiley.com/doi/epdf/10.1111/j.1365-2338.1979.tb02460.x</w:t>
        </w:r>
      </w:hyperlink>
    </w:p>
    <w:p>
      <w:r>
        <w:drawing>
          <wp:inline distT="0" distB="0" distL="0" distR="0">
            <wp:extent cx="1800000" cy="604800"/>
            <wp:docPr id="20726060" name="name19436684fced5603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066684fced5603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570778">
    <w:multiLevelType w:val="hybridMultilevel"/>
    <w:lvl w:ilvl="0" w:tplc="57904970">
      <w:start w:val="1"/>
      <w:numFmt w:val="decimal"/>
      <w:lvlText w:val="%1."/>
      <w:lvlJc w:val="left"/>
      <w:pPr>
        <w:ind w:left="720" w:hanging="360"/>
      </w:pPr>
    </w:lvl>
    <w:lvl w:ilvl="1" w:tplc="57904970" w:tentative="1">
      <w:start w:val="1"/>
      <w:numFmt w:val="lowerLetter"/>
      <w:lvlText w:val="%2."/>
      <w:lvlJc w:val="left"/>
      <w:pPr>
        <w:ind w:left="1440" w:hanging="360"/>
      </w:pPr>
    </w:lvl>
    <w:lvl w:ilvl="2" w:tplc="57904970" w:tentative="1">
      <w:start w:val="1"/>
      <w:numFmt w:val="lowerRoman"/>
      <w:lvlText w:val="%3."/>
      <w:lvlJc w:val="right"/>
      <w:pPr>
        <w:ind w:left="2160" w:hanging="180"/>
      </w:pPr>
    </w:lvl>
    <w:lvl w:ilvl="3" w:tplc="57904970" w:tentative="1">
      <w:start w:val="1"/>
      <w:numFmt w:val="decimal"/>
      <w:lvlText w:val="%4."/>
      <w:lvlJc w:val="left"/>
      <w:pPr>
        <w:ind w:left="2880" w:hanging="360"/>
      </w:pPr>
    </w:lvl>
    <w:lvl w:ilvl="4" w:tplc="57904970" w:tentative="1">
      <w:start w:val="1"/>
      <w:numFmt w:val="lowerLetter"/>
      <w:lvlText w:val="%5."/>
      <w:lvlJc w:val="left"/>
      <w:pPr>
        <w:ind w:left="3600" w:hanging="360"/>
      </w:pPr>
    </w:lvl>
    <w:lvl w:ilvl="5" w:tplc="57904970" w:tentative="1">
      <w:start w:val="1"/>
      <w:numFmt w:val="lowerRoman"/>
      <w:lvlText w:val="%6."/>
      <w:lvlJc w:val="right"/>
      <w:pPr>
        <w:ind w:left="4320" w:hanging="180"/>
      </w:pPr>
    </w:lvl>
    <w:lvl w:ilvl="6" w:tplc="57904970" w:tentative="1">
      <w:start w:val="1"/>
      <w:numFmt w:val="decimal"/>
      <w:lvlText w:val="%7."/>
      <w:lvlJc w:val="left"/>
      <w:pPr>
        <w:ind w:left="5040" w:hanging="360"/>
      </w:pPr>
    </w:lvl>
    <w:lvl w:ilvl="7" w:tplc="57904970" w:tentative="1">
      <w:start w:val="1"/>
      <w:numFmt w:val="lowerLetter"/>
      <w:lvlText w:val="%8."/>
      <w:lvlJc w:val="left"/>
      <w:pPr>
        <w:ind w:left="5760" w:hanging="360"/>
      </w:pPr>
    </w:lvl>
    <w:lvl w:ilvl="8" w:tplc="57904970" w:tentative="1">
      <w:start w:val="1"/>
      <w:numFmt w:val="lowerRoman"/>
      <w:lvlText w:val="%9."/>
      <w:lvlJc w:val="right"/>
      <w:pPr>
        <w:ind w:left="6480" w:hanging="180"/>
      </w:pPr>
    </w:lvl>
  </w:abstractNum>
  <w:abstractNum w:abstractNumId="99570777">
    <w:multiLevelType w:val="hybridMultilevel"/>
    <w:lvl w:ilvl="0" w:tplc="77075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70777">
    <w:abstractNumId w:val="99570777"/>
  </w:num>
  <w:num w:numId="99570778">
    <w:abstractNumId w:val="995707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0302599" Type="http://schemas.microsoft.com/office/2011/relationships/commentsExtended" Target="commentsExtended.xml"/><Relationship Id="rId873207152" Type="http://schemas.microsoft.com/office/2011/relationships/people" Target="people.xml"/><Relationship Id="rId36046684fced52a3e" Type="http://schemas.openxmlformats.org/officeDocument/2006/relationships/hyperlink" Target="https://gd.eppo.int/taxon/ANTHGR/" TargetMode="External"/><Relationship Id="rId34276684fced52aa4" Type="http://schemas.openxmlformats.org/officeDocument/2006/relationships/hyperlink" Target="https://gd.eppo.int/taxon/ANTHGR/categorization" TargetMode="External"/><Relationship Id="rId51916684fced53287" Type="http://schemas.openxmlformats.org/officeDocument/2006/relationships/hyperlink" Target="https://gd.eppo.int/taxon/ANTHGR/photos" TargetMode="External"/><Relationship Id="rId24046684fced55394" Type="http://schemas.openxmlformats.org/officeDocument/2006/relationships/hyperlink" Target="https://doi.org/10.1093/jipm/pmab009" TargetMode="External"/><Relationship Id="rId14796684fced5547c" Type="http://schemas.openxmlformats.org/officeDocument/2006/relationships/hyperlink" Target="https://doi.org/10.2903/j.efsa.%202017.5074" TargetMode="External"/><Relationship Id="rId95606684fced55d89" Type="http://schemas.openxmlformats.org/officeDocument/2006/relationships/hyperlink" Target="https://www.aphis.usda.gov/aphis/newsroom/stakeholder-info/SA_By_Date/SA-2022/aphis50-boll-weevil-eradication" TargetMode="External"/><Relationship Id="rId15396684fced55e62" Type="http://schemas.openxmlformats.org/officeDocument/2006/relationships/hyperlink" Target="https://gd.eppo.int" TargetMode="External"/><Relationship Id="rId44916684fced55fb1" Type="http://schemas.openxmlformats.org/officeDocument/2006/relationships/hyperlink" Target="https://onlinelibrary.wiley.com/doi/epdf/10.1111/j.1365-2338.1979.tb02460.x" TargetMode="External"/><Relationship Id="rId48316684fced5316c" Type="http://schemas.openxmlformats.org/officeDocument/2006/relationships/image" Target="media/imgrId48316684fced5316c.jpg"/><Relationship Id="rId91056684fced545cc" Type="http://schemas.openxmlformats.org/officeDocument/2006/relationships/image" Target="media/imgrId91056684fced545cc.jpg"/><Relationship Id="rId39066684fced56034" Type="http://schemas.openxmlformats.org/officeDocument/2006/relationships/image" Target="media/imgrId39066684fced5603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