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Aphelenchoides besseyi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besseyi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Christie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oryzae</w:t>
            </w:r>
            <w:r>
              <w:rPr>
                <w:rFonts w:ascii="Calibri" w:hAnsi="Calibri" w:eastAsia="Calibri" w:cs="Calibri"/>
                <w:color w:val="000000"/>
                <w:position w:val="-3"/>
                <w:sz w:val="22"/>
                <w:szCs w:val="22"/>
              </w:rPr>
              <w:t xml:space="preserve"> Yokoo, </w:t>
            </w:r>
            <w:r>
              <w:rPr>
                <w:rFonts w:ascii="Calibri" w:hAnsi="Calibri" w:eastAsia="Calibri" w:cs="Calibri"/>
                <w:i/>
                <w:iCs/>
                <w:color w:val="000000"/>
                <w:position w:val="-3"/>
                <w:sz w:val="22"/>
                <w:szCs w:val="22"/>
              </w:rPr>
              <w:t xml:space="preserve">Asteroaphelenchoides besseyi</w:t>
            </w:r>
            <w:r>
              <w:rPr>
                <w:rFonts w:ascii="Calibri" w:hAnsi="Calibri" w:eastAsia="Calibri" w:cs="Calibri"/>
                <w:color w:val="000000"/>
                <w:position w:val="-3"/>
                <w:sz w:val="22"/>
                <w:szCs w:val="22"/>
              </w:rPr>
              <w:t xml:space="preserve"> (Christie) Drozdovski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leaf nematode, rice white-tip nematode, strawberry crimp disease nematode, white-tip nematode</w:t>
            </w:r>
            <w:hyperlink r:id="rId1119675016b014a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933675016b014a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APLOBE</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60962044" name="name4040675016b014b62" descr="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2.jpg"/>
                          <pic:cNvPicPr/>
                        </pic:nvPicPr>
                        <pic:blipFill>
                          <a:blip r:embed="rId7006675016b014b60" cstate="print"/>
                          <a:stretch>
                            <a:fillRect/>
                          </a:stretch>
                        </pic:blipFill>
                        <pic:spPr>
                          <a:xfrm>
                            <a:off x="0" y="0"/>
                            <a:ext cx="2160000" cy="1209600"/>
                          </a:xfrm>
                          <a:prstGeom prst="rect">
                            <a:avLst/>
                          </a:prstGeom>
                          <a:ln w="0">
                            <a:noFill/>
                          </a:ln>
                        </pic:spPr>
                      </pic:pic>
                    </a:graphicData>
                  </a:graphic>
                </wp:inline>
              </w:drawing>
            </w:r>
            <w:hyperlink r:id="rId5278675016b014c9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used in this datasheet reflects developments suggested by several recent publications, summarised in Decraemer &amp; Hunt (2013),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Rhabditida, Suborder Tylenchina. This contrasts with the taxonomy nomenclature occasionally used by some authors (such as the CABI Invasive Species Compendium CABI, 2019; Wheeler &amp; Crow, 2020),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Aphelenchida, Suborder Aphelenchina (Hunt, 1993). Whilst this makes no difference to classification from the level of Superfamily (Aphelenchoidea) to species level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those studying the species might need to be aware of differences in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plants at risk in the EPPO region are rice and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also been found on other crop plants (including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ornamental plants (including chrysanthemums, </w:t>
      </w:r>
      <w:r>
        <w:rPr>
          <w:rFonts w:ascii="Calibri" w:hAnsi="Calibri" w:eastAsia="Calibri" w:cs="Calibri"/>
          <w:i/>
          <w:iCs/>
          <w:color w:val="000000"/>
          <w:sz w:val="22"/>
          <w:szCs w:val="22"/>
        </w:rPr>
        <w:t xml:space="preserve">Ficus elastica,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and grasses (including </w:t>
      </w:r>
      <w:r>
        <w:rPr>
          <w:rFonts w:ascii="Calibri" w:hAnsi="Calibri" w:eastAsia="Calibri" w:cs="Calibri"/>
          <w:i/>
          <w:iCs/>
          <w:color w:val="000000"/>
          <w:sz w:val="22"/>
          <w:szCs w:val="22"/>
        </w:rPr>
        <w:t xml:space="preserve">Panicum, Setaria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Glycine max</w:t>
      </w:r>
      <w:r>
        <w:rPr>
          <w:rFonts w:ascii="Calibri" w:hAnsi="Calibri" w:eastAsia="Calibri" w:cs="Calibri"/>
          <w:color w:val="000000"/>
          <w:sz w:val="22"/>
          <w:szCs w:val="22"/>
        </w:rPr>
        <w:t xml:space="preserve"> appears to be a host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in laboratory tests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was reported in field infestations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reports differ in the extent of the host susceptibility and subsequent damage. Extensive lists of plant groups that have been associated with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literature are provided by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should be noted that not all have necessarily been proven to be true hosts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cayenensis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junceus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 wide geographic distribution, mostly in tropical and subtropical countries. In the EPPO region, it is reported in a few countries of the southern and eastern part of the region.</w:t>
      </w:r>
    </w:p>
    <w:p>
      <w:r>
        <w:drawing>
          <wp:inline distT="0" distB="0" distL="0" distR="0">
            <wp:extent cx="6120000" cy="3067200"/>
            <wp:docPr id="67645130" name="name8118675016b016515" descr="APLOB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BE_distribution_map.jpg"/>
                    <pic:cNvPicPr/>
                  </pic:nvPicPr>
                  <pic:blipFill>
                    <a:blip r:embed="rId8207675016b0165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Georgia, Hungary, Italy (mainland), Kyrgyzstan, Romania, Russia (Southern Russia),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Central African Republic, Chad, Comoros, Congo, Democratic republic of the, Cote d'Ivoire, Egypt, Gabon, Gambia, Ghana, Guinea, Kenya, Madagascar, Malawi, Mali, Niger, Nigeria, Rwanda, Senegal, Sierra Leone,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Fujian, Guangdong, Guangxi, Guizhou, Hebei, Heilongjiang, Henan, Hubei, Hunan, Jiangsu, Jiangxi, Jilin, Liaoning, Ningxia, Shaanxi, Shandong, Shanxi, Sichuan, Xinjiang, Zhejiang), India (Andhra Pradesh, Assam, Bihar, Delhi, Gujarat, Haryana, Jharkand, Kerala, Madhya Pradesh, Maharashtra, Meghalaya, Odisha, Punjab, Tamil Nadu, Tripura, Uttar Pradesh, West Bengal), Indonesia, Iran, Japan (Honshu, Kyushu, Shikoku), Korea, Republic, Kyrgyzstan, Laos, Malaysia (West), Myanmar, Nepal, Pakistan, Philippines, Sri Lanka, Taiwan, Tajikistan,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Florida,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 Dominican Republic, El Salvador,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Amapa, Bahia, Maranhao, Mato Grosso, Minas Gerais, Para, Parana, Rio Grande do Norte, Rio Grande do Sul, Santa Catarina, Sao Paulo, Sergipe,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Cook Islands, Fiji,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rice, infested seed is the primary inoculum source. When the crop is sown, the nematodes become active and move to the growing points of leaves and stems.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most active and feeds at a relative humidity greater than 70%, when symptoms are more likely to occur. At 30°C the life cycle is about 10 days and lengthens significantly at temperatures below 20°C. There is no development below 13°C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optimum temperature for development is 21-25°C, the life cycle taking 10 days at 21°C and 8 days at 23°C, and there are several generations in a season. There are many publications that mention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grain’, but they feed mainly ectoparasitically on young tissue (Duncan &amp; Moens, 2013). Adult females congregate in the glume axis (i.e. under the husk of the seed rather than in the seed grain itself), where they respond to the end of the growing season by living in a quiescent state until conditions become favourable to start the life cycle again, which can be up to 3 years after harvest, on dry grain (Duncan &amp; Moens, 2013; Huang &amp; Huang, 1972). Reproduction is by amphimixis (cross-fertilisation with male and female nematodes) but this species can also reproduce parthenogenetically (Duncan &amp; Moens,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survives between crops by obligate quiescence and there has been research to understand the mechanisms involved but more investigations are required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will die in 4 months on grain left in the field; the nematode is not thought to survive long periods in the soil between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Mixed populations of plant-parasitic nematodes are usually found infesting plants and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often occurs with another foliar nematode,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on rice. Thus, competition between the species may affect the biology of each species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the nematode is also ectoparasitic, feeding on young tissue. In Florida, nematode infestations have been uncommon since the 1950s, but in 2016 they were recorded in a few fields in Central Florida (Desaeger and Noling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become an emerging problem for the Florida strawberry growers, but probably not as a serious problem as it was more than 60 years ago, because the infestations of the nematode observed in the field in 2018 were less serious than those in 2017. Re-occurrence of nematode was observed in the season 2018/2019, but overall damage and yield loss appeared minimal. Details of the life cycle in strawberry crops during the season and over the winter months need to be reassessed under current cultural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other hosts, more research is required to investigate how different populations interact with their hosts. It has been thought for some time that host races exist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several instances where isolates from some hosts were either unable or able to multiply on other hosts, but that morphology of the species remained the same.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exist as a species complex as they found both morphological and molecular differences in different populations on different hosts. Other studies found different cellulases in this species, identified in different hosts (Wu &amp; Chen, 2015;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rice</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and lightly infested plants can be symptomless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found in panicles without white tip symptoms by Tülek &amp; Çobanoğlu, 2010), but in general yield loss only occurs in plants showing symptoms on the tillers of the affected plants, where the tips of the leaves whiten for a distance of 3 to 5 cm, and then die off and shred. The panicles are shorter and often atrophied at the tips. The fertile flowers sometimes produce misshapen grains with low germination potential and delayed date of maximum germination. Affected plants have reduced vigour and height. Infected panicles are shorter with fewer spikelets and a smaller proportion of filled grain. In severe infestations, the shortened flagleaf is twisted and can prevent the complete extrusion of the panicle from the boot. Infestations reduce seed swelling, the grain is small and distorted and the kernel may be discoloured and cracked. Infested plants mature late and have sterile panicles borne on tillers produced from high nodes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be confused with calcium and magnesium deficiency.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include leaf crinkling and distortion, and dwarfing of the plant with an associated reduction in flowering (Desaeger &amp; Noling,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other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be endoparasitic, as in </w:t>
      </w:r>
      <w:r>
        <w:rPr>
          <w:rFonts w:ascii="Calibri" w:hAnsi="Calibri" w:eastAsia="Calibri" w:cs="Calibri"/>
          <w:i/>
          <w:iCs/>
          <w:color w:val="000000"/>
          <w:sz w:val="22"/>
          <w:szCs w:val="22"/>
        </w:rPr>
        <w:t xml:space="preserve">Ficus elastica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in which it causes leaf drop and leaf lesions, respectively. In the grass </w:t>
      </w:r>
      <w:r>
        <w:rPr>
          <w:rFonts w:ascii="Calibri" w:hAnsi="Calibri" w:eastAsia="Calibri" w:cs="Calibri"/>
          <w:i/>
          <w:iCs/>
          <w:color w:val="000000"/>
          <w:sz w:val="22"/>
          <w:szCs w:val="22"/>
        </w:rPr>
        <w:t xml:space="preserve">Sporobolus poirettii</w:t>
      </w:r>
      <w:r>
        <w:rPr>
          <w:rFonts w:ascii="Calibri" w:hAnsi="Calibri" w:eastAsia="Calibri" w:cs="Calibri"/>
          <w:color w:val="000000"/>
          <w:sz w:val="22"/>
          <w:szCs w:val="22"/>
        </w:rPr>
        <w:t xml:space="preserve">, the nematode stimulates growth, resulting in increased inflorescences (Marlatt, 1970).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further detailed in the EPPO Diagnostic protocol PM 7/39(2) (EPPO, 2017a).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have a slender body 0.44-0.84 mm long and 14-22 µm wide. In females, the excretory pore is usually near the anterior edge of the nerve ring; the spermatheca is elongate-oval and usually packed with sperm; the ovary is relatively short, the post-vulval uterine sac narrow, and the terminus bears a mucro of diverse shape with three to four processes (stellate). In males, the proximal end of the spicule lacks a dorsal process. The EPPO Diagnostic Protocol PM 7/39(2) (EPPO, 2017a) sets out the morphology as described in the original description of the species, along with other previously published data up to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have recently provided more details of the morphometrics of an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population found on strawberry in Florida and compared this with other </w:t>
      </w:r>
      <w:r>
        <w:rPr>
          <w:rFonts w:ascii="Calibri" w:hAnsi="Calibri" w:eastAsia="Calibri" w:cs="Calibri"/>
          <w:i/>
          <w:iCs/>
          <w:color w:val="000000"/>
          <w:sz w:val="22"/>
          <w:szCs w:val="22"/>
        </w:rPr>
        <w:t xml:space="preserve">Aphelenchoides </w:t>
      </w:r>
      <w:r>
        <w:rPr>
          <w:rFonts w:ascii="Calibri" w:hAnsi="Calibri" w:eastAsia="Calibri" w:cs="Calibri"/>
          <w:color w:val="000000"/>
          <w:sz w:val="22"/>
          <w:szCs w:val="22"/>
        </w:rPr>
        <w:t xml:space="preserve">considered by them as having stellate tails which helps to provide further clarity to the identification process.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(June 2020) much discussion on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especially when it is suspected of occurring on crops other than rice. According to de 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who studied populations in infested rice and forage crops,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often been confused with a morphologically similar species,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(Zhuo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their molecular investigations suggested the species were so similar they were in fact the same species.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investigated the identities of these species as identified in forage grass seed using real-time PCR but concluded further research was required.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who investigated infestations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strawberries using morphological and molecular tools (the latter not identical to those used by the previous authors), also reported that the species could be confused with other species with stellate mucros, namely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and a new species, </w:t>
      </w:r>
      <w:r>
        <w:rPr>
          <w:rFonts w:ascii="Calibri" w:hAnsi="Calibri" w:eastAsia="Calibri" w:cs="Calibri"/>
          <w:i/>
          <w:iCs/>
          <w:color w:val="000000"/>
          <w:sz w:val="22"/>
          <w:szCs w:val="22"/>
        </w:rPr>
        <w:t xml:space="preserve">A. pseudogoodeyi</w:t>
      </w:r>
      <w:r>
        <w:rPr>
          <w:rFonts w:ascii="Calibri" w:hAnsi="Calibri" w:eastAsia="Calibri" w:cs="Calibri"/>
          <w:color w:val="000000"/>
          <w:sz w:val="22"/>
          <w:szCs w:val="22"/>
        </w:rPr>
        <w:t xml:space="preserve">. They also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a complex of species. Other new species described as having stellate tails have also been described since the publication of the last edition of the EPPO Diagnostic protocol for this species (EPPO, 2017a), such as </w:t>
      </w:r>
      <w:r>
        <w:rPr>
          <w:rFonts w:ascii="Calibri" w:hAnsi="Calibri" w:eastAsia="Calibri" w:cs="Calibri"/>
          <w:i/>
          <w:iCs/>
          <w:color w:val="000000"/>
          <w:sz w:val="22"/>
          <w:szCs w:val="22"/>
        </w:rPr>
        <w:t xml:space="preserve">A. medicagus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clearly more research to be done concerning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those nematodes that are morphologically similar to it, especially because, at present, only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as a quarantine pest. Thus identification should be done in conjunction with a laboratory quality accredited in nematological identifications, using the latest findings in research.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are detailed in the EPPO Diagnostic protocol PM7/39(2) (EPPO, 2017a), which refers to a detection standard method, recently updated, used by the International Seed Testing Association (ISTA) method for use on rice (ISTA, 2020). Inspection of consignments of rice seed is covered in EPPO Phytosanitary Procedure PM 3/78(1)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is covered in EPPO Phytosanitary procedure PM 3/73(1) (EPPO, 2008a, 2009), and inspection procedures for places of production are set out in EPPO Phytosanitary procedure PM3/83(1)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may also be found in host plant detritus (EPPO, 2017a; Wheeler &amp; Crow,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molecular methods, PCR tests and DNA barcoding can be used (EPPO, 2017a). Research on molecular methods to support the identification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to distinguish it from morphologically similar species, both in the laboratory and in the field, is on-going (Rybarczyk-Mydlowska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Yang &amp; Yu, 2018. Recently, Çelik &amp; Devran (2019) and Çelik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real-time PCR testbased on small subunit ribosomal DNA (SSU rDNA)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validated it successfully in populations collected from rice-growing fields in Turkey and subsequently developed a qualitative assay. Where molecular tools can also be used to support detection, the combined use of the 18S rRNA, 28S rRNA and COI genes appears to provide the most reliable support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Such developments in research will provide support for internationally approved protocols (IPPC, 2016;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disseminated in plant material, such as infested rice seed (as it lives in a quiescent state under the hull), or associated with infested plants for planting of strawberries and other hosts. Locally, floods or irrigation water can spread the pest from infested hosts (Duncan &amp; Moens,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makes a significant contribution to the estimated 16 billion USD worth of damage caused by nematodes to rice crops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economic impact of this seed-borne nematode varies between regions, countries, and localities. Yield losses are also affected by the rice cultivar used, growing year, temperature, cultural practices and other variable factors (Tulek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infestations of either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angustus </w:t>
      </w:r>
      <w:r>
        <w:rPr>
          <w:rFonts w:ascii="Calibri" w:hAnsi="Calibri" w:eastAsia="Calibri" w:cs="Calibri"/>
          <w:color w:val="000000"/>
          <w:sz w:val="22"/>
          <w:szCs w:val="22"/>
        </w:rPr>
        <w:t xml:space="preserve">alone resulted in greater disease incidence and greater yield reductions than mixed populations of these nematodes found in some fields, probably due to the effects of competition for feeding sites.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where little information on the pest status for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exists, estimates for damage prediction have used the threshold of 300 live nematodes per 100 seeds, according to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research has resulted in conflicting data concerning the relationship between nematode density and yield loss. Tsay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yield losses of 24.2, 34.7, and 44.9% when the estimated infestation rate was 18, 34 and 57% respectively.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 significant correlation between yield loss and observation of the white tip symptoms but not nematode density.</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work has proposed a prediction model for losses in field crops based on a significant correlation between mean yield reduction and nematode populations (Jamali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outbreaks have occurred in Japan, the economic value of infested, discoloured grain is reduced if infestation levels exceed 0.7%. In China, yield losses can be as high as 45% when plant infestation levels exceed 50%. In contrast, local cultivars in Thailand appear to be tolerant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and no symptoms have been observed despite widespread infestation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recorded over 60 years ago in the USA as the incitant of summer dwarf or crimp disease, and causing much reduced strawberry fruit yields. Recent field infestations in the USA have been significant but often only temporary once control measures have been put in place; it is difficult to predict the financial impact that the loss of previously available control treatments will have on the industry (Wheeler &amp; Crow,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methods are of utmost importance. Seed treatments and resistant cultivars have significantly reduced the economic impact of this pest in some parts of the world (Duncan &amp; Moens, 2013;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Cultural methods for rice include early planting if the rice season is preceded by a cooler period, and lower seedbed planting densities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Contrary to that which might be expected, good seed storage conditions probably prolong nematode survival, as more nematodes survive in seeds stored with low moisture than in seeds with high moisture levels at most temperatures. Nevertheless, clean seed remains the primary means of reducing infestation levels, together with the use of resistant cultivars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For infested rice seeds a hot water treatment at 52-57°C for 15 min is recommended by the International Rice Research Institute to eradicate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(Misra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of rice seeds and soil have been used in the past. Similarly, nematicides, applied either as foliar sprays or as soil treatments, can reduce the nematode population sufficiently to prevent symptom expression. However, few, if any, treatments still exist. The emphasis is now on sustainable production of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Strawberry runners may also be treated prior to planting by immersion in water for 10 min at 46°C (EPPO, 2012). The nematode numbers can thus be markedly reduced but not always eliminated, and symptoms can be expected to be expressed in a later growing season. However, strawberry planting material should be free from nematodes; this is best achieved within a certification scheme, which produces planting material from nematode-free nuclear stock, and is a vital component in minimising the risk of infestation.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included in the EPPO certification scheme for strawberries PM 4/11(2) (EPPO, 2008b).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 a significant pest outdoors in warmer climates of the EPPO region, as well as under protection in other parts of the region. It presents a risk particularly to rice, and possibly to strawberry and other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on the EPPO A2 List of pests recommended for regulation as quarantine pests by EPPO. In addition, it was assessed during the EPPO RNQP Project to evaluate whether the pest was also fulfilling criteria for a RNQP, when not regulated as a quarantine pest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recommended during this Project,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subject to a zero tolerance for rice seeds in the EU (as a RNQP) (EU, 2019). The Project suggested that the risk in strawberry plants could be managed along with the measures for other species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with tolerances for certified, basic and pre-basic material, and the absence of visual symptoms on the traded material for non-certified material. The pest is subject in the EU to a zero tolerance for plants for planting (except seeds) of strawberry (EU, 2019). Possible phytosanitary measures recommended for rice seeds in the EPPO RNQP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EPPO Specific quarantine requirements (EPPO, 1995) for strawberry plants for planting (except seeds) included origin from a pest-free area or treatment. In addition, the EPPO RNQP Project recommended that rice seeds could be tested. Phytosanitary procedures for rice seeds are available for inspection of consignments (EPPO, 2016), and for strawberry plants for planting for inspection (EPPO, 2008a, 2009, 2017b), hot water treatment (EPPO, 2012) and certification schemes (EPPO, 2008b).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(eds Luc M, Sikora RA &amp; Bridge J), pp. 87-130.</w:t>
      </w:r>
    </w:p>
    <w:p>
      <w:pPr>
        <w:widowControl w:val="on"/>
        <w:pBdr/>
        <w:spacing w:before="220" w:after="220" w:line="240" w:lineRule="auto"/>
        <w:ind w:left="0" w:right="0"/>
        <w:jc w:val="left"/>
      </w:pPr>
      <w:r>
        <w:rPr>
          <w:rFonts w:ascii="Calibri" w:hAnsi="Calibri" w:eastAsia="Calibri" w:cs="Calibri"/>
          <w:color w:val="000000"/>
          <w:sz w:val="22"/>
          <w:szCs w:val="22"/>
        </w:rPr>
        <w:t xml:space="preserve">Buonicontro DS, Roberts DM, Oliveira CMG, Blok VC, Neilson R &amp; Oliveira RD’arcDL (2018) A rapid diagnostic for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based on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519-526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(rice leaf nematode).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 International, Wallingford, UK. </w:t>
      </w:r>
      <w:hyperlink r:id="rId7287675016b017946" w:history="1">
        <w:r>
          <w:rPr>
            <w:rFonts w:ascii="Calibri" w:hAnsi="Calibri" w:eastAsia="Calibri" w:cs="Calibri"/>
            <w:color w:val="0000CC"/>
            <w:sz w:val="22"/>
            <w:szCs w:val="22"/>
            <w:u w:val="single"/>
          </w:rPr>
          <w:t xml:space="preserve">https://www.cabi.org/isc/datasheet/6378#toidentity</w:t>
        </w:r>
      </w:hyperlink>
      <w:r>
        <w:rPr>
          <w:rFonts w:ascii="Calibri" w:hAnsi="Calibri" w:eastAsia="Calibri" w:cs="Calibri"/>
          <w:color w:val="000000"/>
          <w:sz w:val="22"/>
          <w:szCs w:val="22"/>
        </w:rPr>
        <w:t xml:space="preserve"> [Accessed 28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&amp; Devran Z (2019) Identification and quantification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from rice using qPCR.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691–703.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Tülek A &amp; Devran Z (2020) Development of a novel scale based on qPCR for rapid and accurate prediction of the number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paddy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104975.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Q, Wang F, Li D, Zhang R &amp; Ling Y (2018) Trehalose metabolism genes render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(Nematoda: Aphelenchoididae) resistant to an anaerobic environment. </w:t>
      </w:r>
      <w:r>
        <w:rPr>
          <w:rFonts w:ascii="Calibri" w:hAnsi="Calibri" w:eastAsia="Calibri" w:cs="Calibri"/>
          <w:i/>
          <w:iCs/>
          <w:color w:val="000000"/>
          <w:sz w:val="22"/>
          <w:szCs w:val="22"/>
        </w:rPr>
        <w:t xml:space="preserve">Journal of Experimental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(4): jeb171413. </w:t>
      </w:r>
    </w:p>
    <w:p>
      <w:pPr>
        <w:widowControl w:val="on"/>
        <w:pBdr/>
        <w:spacing w:before="220" w:after="220" w:line="240" w:lineRule="auto"/>
        <w:ind w:left="0" w:right="0"/>
        <w:jc w:val="left"/>
      </w:pPr>
      <w:r>
        <w:rPr>
          <w:rFonts w:ascii="Calibri" w:hAnsi="Calibri" w:eastAsia="Calibri" w:cs="Calibri"/>
          <w:color w:val="000000"/>
          <w:sz w:val="22"/>
          <w:szCs w:val="22"/>
        </w:rPr>
        <w:t xml:space="preserve">De Jesus DS, Oliveira CMG, Roberts D, Blok V, Neilson R, Prior T, Balbino HM, MacKenzie KM &amp; Oliveira RDAL (2016) Morphological and molecular characterisation of </w:t>
      </w:r>
      <w:r>
        <w:rPr>
          <w:rFonts w:ascii="Calibri" w:hAnsi="Calibri" w:eastAsia="Calibri" w:cs="Calibri"/>
          <w:i/>
          <w:iCs/>
          <w:color w:val="000000"/>
          <w:sz w:val="22"/>
          <w:szCs w:val="22"/>
        </w:rPr>
        <w:t xml:space="preserve">Aphelenchoides besseyi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fujianensis</w:t>
      </w:r>
      <w:r>
        <w:rPr>
          <w:rFonts w:ascii="Calibri" w:hAnsi="Calibri" w:eastAsia="Calibri" w:cs="Calibri"/>
          <w:color w:val="000000"/>
          <w:sz w:val="22"/>
          <w:szCs w:val="22"/>
        </w:rPr>
        <w:t xml:space="preserve"> (Nematoda: Aphelenchoididae) from rice and forage grass seeds in Brazil.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337-356.</w:t>
      </w:r>
    </w:p>
    <w:p>
      <w:pPr>
        <w:widowControl w:val="on"/>
        <w:pBdr/>
        <w:spacing w:before="220" w:after="220" w:line="240" w:lineRule="auto"/>
        <w:ind w:left="0" w:right="0"/>
        <w:jc w:val="left"/>
      </w:pPr>
      <w:r>
        <w:rPr>
          <w:rFonts w:ascii="Calibri" w:hAnsi="Calibri" w:eastAsia="Calibri" w:cs="Calibri"/>
          <w:color w:val="000000"/>
          <w:sz w:val="22"/>
          <w:szCs w:val="22"/>
        </w:rPr>
        <w:t xml:space="preserve">Decraemer W &amp; Hunt DJ (2013) Structure and Classification.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2nd Edition (eds Perry R &amp; Moens M), pp. 32-37.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Desaeger J &amp; Noling J (2017) Foliar or bud nematodes in Florida strawberries. University of Florida IFAS Extension Publication ENY-068. </w:t>
      </w:r>
      <w:hyperlink r:id="rId8635675016b017c59" w:history="1">
        <w:r>
          <w:rPr>
            <w:rFonts w:ascii="Calibri" w:hAnsi="Calibri" w:eastAsia="Calibri" w:cs="Calibri"/>
            <w:color w:val="0000CC"/>
            <w:sz w:val="22"/>
            <w:szCs w:val="22"/>
            <w:u w:val="single"/>
          </w:rPr>
          <w:t xml:space="preserve">https://edis.ifas.ufl.edu/in1184</w:t>
        </w:r>
      </w:hyperlink>
      <w:r>
        <w:rPr>
          <w:rFonts w:ascii="Calibri" w:hAnsi="Calibri" w:eastAsia="Calibri" w:cs="Calibri"/>
          <w:color w:val="000000"/>
          <w:sz w:val="22"/>
          <w:szCs w:val="22"/>
        </w:rPr>
        <w:t xml:space="preserve"> [Accessed 14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LW &amp; Moens M (2013) Migratory endoparasitic nematodes. In: Plant Nematology 2nd Edition (eds Perry RN &amp; Moens M), pp.144-178.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(1995) Specific Quarantine Requirements. 1995 Revised version of EPPO Technical Documents n°1008. European and Mediterranean Plant Protection Organization. [Available from the EPPO Secretariat on request]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PM 3/73(1). Phytosanitary procedures.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PM 4/11(2). Schemes for the production of healthy plants for planting.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Corrigendum [to EPPO Standards, including EPPO Standards PM 3/73(1) EPPO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486. Relevant part detailed in the last paragraph of the Corrigendum </w:t>
      </w:r>
      <w:hyperlink r:id="rId2024675016b017e2d" w:history="1">
        <w:r>
          <w:rPr>
            <w:rFonts w:ascii="Calibri" w:hAnsi="Calibri" w:eastAsia="Calibri" w:cs="Calibri"/>
            <w:color w:val="0000CC"/>
            <w:sz w:val="22"/>
            <w:szCs w:val="22"/>
            <w:u w:val="single"/>
          </w:rPr>
          <w:t xml:space="preserve">https://onlinelibrary.wiley.com/doi/epdf/10.1111/j.1365-2338.2009.02342_3.x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Standards PM 10/19(1) Phytosanitary Treatments. Hot water treatment of strawberry plants to control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3/78(1). Phytosanitary Procedures.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PM7/39(2) Diagnostics.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384-400.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3/83(1). Phytosanitary Procedures.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1/2 (28) General. </w:t>
      </w:r>
      <w:r>
        <w:rPr>
          <w:rFonts w:ascii="Calibri" w:hAnsi="Calibri" w:eastAsia="Calibri" w:cs="Calibri"/>
          <w:i/>
          <w:iCs/>
          <w:color w:val="000000"/>
          <w:sz w:val="22"/>
          <w:szCs w:val="22"/>
        </w:rPr>
        <w:t xml:space="preserve">EPPO A1 and A2 Lists of pests recommended for regulation as quarantine pests. </w:t>
      </w:r>
      <w:hyperlink r:id="rId2904675016b01809a" w:history="1">
        <w:r>
          <w:rPr>
            <w:rFonts w:ascii="Calibri" w:hAnsi="Calibri" w:eastAsia="Calibri" w:cs="Calibri"/>
            <w:color w:val="0000CC"/>
            <w:sz w:val="22"/>
            <w:szCs w:val="22"/>
            <w:u w:val="single"/>
          </w:rPr>
          <w:t xml:space="preserve">https://www.eppo.int/media/uploaded_images/ACTIVITIES/plant_quarantine/pm1-002-28-en.pdf</w:t>
        </w:r>
      </w:hyperlink>
      <w:r>
        <w:rPr>
          <w:rFonts w:ascii="Calibri" w:hAnsi="Calibri" w:eastAsia="Calibri" w:cs="Calibri"/>
          <w:color w:val="000000"/>
          <w:sz w:val="22"/>
          <w:szCs w:val="22"/>
        </w:rPr>
        <w:t xml:space="preserve"> [Accessed 7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10.12.2019, L319/1, 279 pp.</w:t>
      </w:r>
    </w:p>
    <w:p>
      <w:pPr>
        <w:widowControl w:val="on"/>
        <w:pBdr/>
        <w:spacing w:before="220" w:after="220" w:line="240" w:lineRule="auto"/>
        <w:ind w:left="0" w:right="0"/>
        <w:jc w:val="left"/>
      </w:pPr>
      <w:r>
        <w:rPr>
          <w:rFonts w:ascii="Calibri" w:hAnsi="Calibri" w:eastAsia="Calibri" w:cs="Calibri"/>
          <w:color w:val="000000"/>
          <w:sz w:val="22"/>
          <w:szCs w:val="22"/>
        </w:rPr>
        <w:t xml:space="preserve">Hsieh S-H, Lin C-J, Chen P (2012) Sexual compatibility among different host-originated isolates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the inheritance of the parasitism.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e40886. </w:t>
      </w:r>
      <w:hyperlink r:id="rId4718675016b0181a3" w:history="1">
        <w:r>
          <w:rPr>
            <w:rFonts w:ascii="Calibri" w:hAnsi="Calibri" w:eastAsia="Calibri" w:cs="Calibri"/>
            <w:color w:val="0000CC"/>
            <w:sz w:val="22"/>
            <w:szCs w:val="22"/>
            <w:u w:val="single"/>
          </w:rPr>
          <w:t xml:space="preserve">https://doi.org/10.1371/journal.pone.0040886</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CS &amp; Huang SP (1972) Bionomics of white-tip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florets and developing grains. </w:t>
      </w:r>
      <w:r>
        <w:rPr>
          <w:rFonts w:ascii="Calibri" w:hAnsi="Calibri" w:eastAsia="Calibri" w:cs="Calibri"/>
          <w:i/>
          <w:iCs/>
          <w:color w:val="000000"/>
          <w:sz w:val="22"/>
          <w:szCs w:val="22"/>
        </w:rPr>
        <w:t xml:space="preserve">Botanical Bulletin of Academia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 </w:t>
      </w:r>
      <w:hyperlink r:id="rId3675675016b018240" w:history="1">
        <w:r>
          <w:rPr>
            <w:rFonts w:ascii="Calibri" w:hAnsi="Calibri" w:eastAsia="Calibri" w:cs="Calibri"/>
            <w:color w:val="0000CC"/>
            <w:sz w:val="22"/>
            <w:szCs w:val="22"/>
            <w:u w:val="single"/>
          </w:rPr>
          <w:t xml:space="preserve">https://www.cabi.org/isc/abstract/19730804884</w:t>
        </w:r>
      </w:hyperlink>
      <w:r>
        <w:rPr>
          <w:rFonts w:ascii="Calibri" w:hAnsi="Calibri" w:eastAsia="Calibri" w:cs="Calibri"/>
          <w:color w:val="000000"/>
          <w:sz w:val="22"/>
          <w:szCs w:val="22"/>
        </w:rPr>
        <w:t xml:space="preserve"> [Accessed 1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Order Aphelenchida.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pp. 30-160.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Annex DP 17 to ISPM 27 -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ritzemabosi</w:t>
      </w:r>
      <w:r>
        <w:rPr>
          <w:rFonts w:ascii="Calibri" w:hAnsi="Calibri" w:eastAsia="Calibri" w:cs="Calibri"/>
          <w:color w:val="000000"/>
          <w:sz w:val="22"/>
          <w:szCs w:val="22"/>
        </w:rPr>
        <w:t xml:space="preserve">. Rome, IPPC, FAO. </w:t>
      </w:r>
      <w:hyperlink r:id="rId9351675016b018334" w:history="1">
        <w:r>
          <w:rPr>
            <w:rFonts w:ascii="Calibri" w:hAnsi="Calibri" w:eastAsia="Calibri" w:cs="Calibri"/>
            <w:color w:val="0000CC"/>
            <w:sz w:val="22"/>
            <w:szCs w:val="22"/>
            <w:u w:val="single"/>
          </w:rPr>
          <w:t xml:space="preserve">https://www.ippc.int/static/media/files/publication/en/2016/11/DP_17_2016_En_2016-11-01_iaK6Hls.pdf</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ISTA (2020)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(rice) seed. Version 7-025-6.    International Rules for Seed Testing 2020. </w:t>
      </w:r>
      <w:hyperlink r:id="rId8640675016b0183b4" w:history="1">
        <w:r>
          <w:rPr>
            <w:rFonts w:ascii="Calibri" w:hAnsi="Calibri" w:eastAsia="Calibri" w:cs="Calibri"/>
            <w:color w:val="0000CC"/>
            <w:sz w:val="22"/>
            <w:szCs w:val="22"/>
            <w:u w:val="single"/>
          </w:rPr>
          <w:t xml:space="preserve">https://www.seedtest.org/upload/cms/user/ISTASHmethods20207-025.pdf</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Jamali S, Porjam E, &amp; Safai N (2012) Determining the relationship between population density of white tip nematode and rice yield. </w:t>
      </w:r>
      <w:r>
        <w:rPr>
          <w:rFonts w:ascii="Calibri" w:hAnsi="Calibri" w:eastAsia="Calibri" w:cs="Calibri"/>
          <w:i/>
          <w:iCs/>
          <w:color w:val="000000"/>
          <w:sz w:val="22"/>
          <w:szCs w:val="22"/>
        </w:rPr>
        <w:t xml:space="preserve">Journal of Agricultural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195-203.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EGJ, Gaur HS, Helder J, Jones MGK, Kikuchi T, Manzanilla-Lopez R, Palomares-Rius JE, Wesemael WML &amp;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Latif MA, Haque A, Tajul MI, Monsur MA &amp; Rafii MY (2013) Interactions between the nematodes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on rice: population dynamics and grain yield reductions.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490−500.</w:t>
      </w:r>
    </w:p>
    <w:p>
      <w:pPr>
        <w:widowControl w:val="on"/>
        <w:pBdr/>
        <w:spacing w:before="220" w:after="220" w:line="240" w:lineRule="auto"/>
        <w:ind w:left="0" w:right="0"/>
        <w:jc w:val="left"/>
      </w:pPr>
      <w:r>
        <w:rPr>
          <w:rFonts w:ascii="Calibri" w:hAnsi="Calibri" w:eastAsia="Calibri" w:cs="Calibri"/>
          <w:color w:val="000000"/>
          <w:sz w:val="22"/>
          <w:szCs w:val="22"/>
        </w:rPr>
        <w:t xml:space="preserve">Marlatt RB (1970) Transmission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via </w:t>
      </w:r>
      <w:r>
        <w:rPr>
          <w:rFonts w:ascii="Calibri" w:hAnsi="Calibri" w:eastAsia="Calibri" w:cs="Calibri"/>
          <w:i/>
          <w:iCs/>
          <w:color w:val="000000"/>
          <w:sz w:val="22"/>
          <w:szCs w:val="22"/>
        </w:rPr>
        <w:t xml:space="preserve">Sporobolus poiretii</w:t>
      </w:r>
      <w:r>
        <w:rPr>
          <w:rFonts w:ascii="Calibri" w:hAnsi="Calibri" w:eastAsia="Calibri" w:cs="Calibri"/>
          <w:color w:val="000000"/>
          <w:sz w:val="22"/>
          <w:szCs w:val="22"/>
        </w:rPr>
        <w:t xml:space="preserve"> inflorescences.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543-544.</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MC, Favoreto L &amp; Klepker D (2017) Soybean green stem and foliar retention syndrome caused by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403-409.</w:t>
      </w:r>
    </w:p>
    <w:p>
      <w:pPr>
        <w:widowControl w:val="on"/>
        <w:pBdr/>
        <w:spacing w:before="220" w:after="220" w:line="240" w:lineRule="auto"/>
        <w:ind w:left="0" w:right="0"/>
        <w:jc w:val="left"/>
      </w:pPr>
      <w:r>
        <w:rPr>
          <w:rFonts w:ascii="Calibri" w:hAnsi="Calibri" w:eastAsia="Calibri" w:cs="Calibri"/>
          <w:color w:val="000000"/>
          <w:sz w:val="22"/>
          <w:szCs w:val="22"/>
        </w:rPr>
        <w:t xml:space="preserve">Misra JK, Mew TW &amp; Huelma CC (1994) Seed Treatment.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 59. International Rice Research Institute. ISBN 971-22-0049-3.</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CJ, Subbotin SA, Ávarez-Ortega S, Desaeger J, Brito JA, Xavier KV, Freitas LG, Silvia V &amp; Inserra RN (2019) Morphological and molecular identification two Florida populations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isolated from strawberry with the description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pseudogoodeyi</w:t>
      </w:r>
      <w:r>
        <w:rPr>
          <w:rFonts w:ascii="Calibri" w:hAnsi="Calibri" w:eastAsia="Calibri" w:cs="Calibri"/>
          <w:color w:val="000000"/>
          <w:sz w:val="22"/>
          <w:szCs w:val="22"/>
        </w:rPr>
        <w:t xml:space="preserve"> sp.n. (Nematoda: Aphelenchoididae) and notes on their bionomics.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2825-2842.</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552-568. Measures accessible from </w:t>
      </w:r>
      <w:hyperlink r:id="rId3252675016b01883e"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Rybarczyk-Mydlowska K, Mooyman P, van Megen H, van den Elsen S, Vervoort M, Veenhuizen P, van Doorn J, Dees R, Karssen G, Bakker J &amp; Helder J (2012) Small subunit ribosomal DNA-based phylogenetic analysis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and their quantitative detection in complex DNA backgrounds. </w:t>
      </w:r>
      <w:hyperlink r:id="rId2341675016b018895" w:history="1">
        <w:r>
          <w:rPr>
            <w:rFonts w:ascii="Calibri" w:hAnsi="Calibri" w:eastAsia="Calibri" w:cs="Calibri"/>
            <w:color w:val="0000CC"/>
            <w:sz w:val="22"/>
            <w:szCs w:val="22"/>
            <w:u w:val="single"/>
          </w:rPr>
          <w:t xml:space="preserve">https://apsjournals.apsnet.org/doi/10.1094/PHYTO-05-12-0114-R</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Sanchez-Monge A, Flores L, Salazar L, Hockland S &amp; Wim Bert (2015) An updated list of the plants associated with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(Nematoda: Aphelenchoididae) and its implications for plant-parasitism within this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4013</w:t>
      </w:r>
      <w:r>
        <w:rPr>
          <w:rFonts w:ascii="Calibri" w:hAnsi="Calibri" w:eastAsia="Calibri" w:cs="Calibri"/>
          <w:color w:val="000000"/>
          <w:sz w:val="22"/>
          <w:szCs w:val="22"/>
        </w:rPr>
        <w:t xml:space="preserve">, 207-224.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Sánchez-Monge A, Janssen T, Fang Y, Couvreur M, Karssen G &amp; Bert W (2017) mtCOI successfully diagnoses the four main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species (Nematoda: Aphelenchoididae) and supports a multiple origin of plant-parasitism in this paraphyletic genus.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853–866. </w:t>
      </w:r>
    </w:p>
    <w:p>
      <w:pPr>
        <w:widowControl w:val="on"/>
        <w:pBdr/>
        <w:spacing w:before="220" w:after="220" w:line="240" w:lineRule="auto"/>
        <w:ind w:left="0" w:right="0"/>
        <w:jc w:val="left"/>
      </w:pPr>
      <w:r>
        <w:rPr>
          <w:rFonts w:ascii="Calibri" w:hAnsi="Calibri" w:eastAsia="Calibri" w:cs="Calibri"/>
          <w:color w:val="000000"/>
          <w:sz w:val="22"/>
          <w:szCs w:val="22"/>
        </w:rPr>
        <w:t xml:space="preserve">Todd EH &amp; Atkins JG (1958) White tip disease of rice. I. Symptoms, laboratory culture of nematode and pathogenicity tests.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632-637. </w:t>
      </w:r>
    </w:p>
    <w:p>
      <w:pPr>
        <w:widowControl w:val="on"/>
        <w:pBdr/>
        <w:spacing w:before="220" w:after="220" w:line="240" w:lineRule="auto"/>
        <w:ind w:left="0" w:right="0"/>
        <w:jc w:val="left"/>
      </w:pPr>
      <w:r>
        <w:rPr>
          <w:rFonts w:ascii="Calibri" w:hAnsi="Calibri" w:eastAsia="Calibri" w:cs="Calibri"/>
          <w:color w:val="000000"/>
          <w:sz w:val="22"/>
          <w:szCs w:val="22"/>
        </w:rPr>
        <w:t xml:space="preserve">Tsay TT, Cheng YH, Teng YC, Lee MD, Wu WS &amp; Lin YY (1998). Bionomics and control of rice white tip disease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&amp; Çobanoğlu S (2010) Distribution of the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growing areas in the Thrace region of Turkey. </w:t>
      </w:r>
      <w:r>
        <w:rPr>
          <w:rFonts w:ascii="Calibri" w:hAnsi="Calibri" w:eastAsia="Calibri" w:cs="Calibri"/>
          <w:i/>
          <w:iCs/>
          <w:color w:val="000000"/>
          <w:sz w:val="22"/>
          <w:szCs w:val="22"/>
        </w:rPr>
        <w:t xml:space="preserve">Nematologica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215–217. </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Kepenekçi I, Çiftcigil T, Sürek H, Akin K &amp; Kaya R (2015) Reaction of some rice cultivars to the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under field conditions in the Thrace region of Turkey. </w:t>
      </w:r>
      <w:r>
        <w:rPr>
          <w:rFonts w:ascii="Calibri" w:hAnsi="Calibri" w:eastAsia="Calibri" w:cs="Calibri"/>
          <w:i/>
          <w:iCs/>
          <w:color w:val="000000"/>
          <w:sz w:val="22"/>
          <w:szCs w:val="22"/>
        </w:rPr>
        <w:t xml:space="preserve">Turkish 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958-966 </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Bert W, Gu J, Couvreur M &amp; Li H (2019) </w:t>
      </w:r>
      <w:r>
        <w:rPr>
          <w:rFonts w:ascii="Calibri" w:hAnsi="Calibri" w:eastAsia="Calibri" w:cs="Calibri"/>
          <w:i/>
          <w:iCs/>
          <w:color w:val="000000"/>
          <w:sz w:val="22"/>
          <w:szCs w:val="22"/>
        </w:rPr>
        <w:t xml:space="preserve">Aphelenchoides medicagus</w:t>
      </w:r>
      <w:r>
        <w:rPr>
          <w:rFonts w:ascii="Calibri" w:hAnsi="Calibri" w:eastAsia="Calibri" w:cs="Calibri"/>
          <w:color w:val="000000"/>
          <w:sz w:val="22"/>
          <w:szCs w:val="22"/>
        </w:rPr>
        <w:t xml:space="preserve"> n.sp. (Tylenchida: Aphelenchoididae) found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imported into China from the USA.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709-723. </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L &amp; Crow WT (2020). Foliar nematode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(Nematoda: Aphelenchida: Aphelenchoididae). </w:t>
      </w:r>
      <w:r>
        <w:rPr>
          <w:rFonts w:ascii="Calibri" w:hAnsi="Calibri" w:eastAsia="Calibri" w:cs="Calibri"/>
          <w:i/>
          <w:iCs/>
          <w:color w:val="000000"/>
          <w:sz w:val="22"/>
          <w:szCs w:val="22"/>
        </w:rPr>
        <w:t xml:space="preserve">University of Florida Entomology and Nematology Department, IFAS Extension Document EENY-749</w:t>
      </w:r>
      <w:r>
        <w:rPr>
          <w:rFonts w:ascii="Calibri" w:hAnsi="Calibri" w:eastAsia="Calibri" w:cs="Calibri"/>
          <w:color w:val="000000"/>
          <w:sz w:val="22"/>
          <w:szCs w:val="22"/>
        </w:rPr>
        <w:t xml:space="preserve">. </w:t>
      </w:r>
      <w:hyperlink r:id="rId6271675016b018d73" w:history="1">
        <w:r>
          <w:rPr>
            <w:rFonts w:ascii="Calibri" w:hAnsi="Calibri" w:eastAsia="Calibri" w:cs="Calibri"/>
            <w:color w:val="0000CC"/>
            <w:sz w:val="22"/>
            <w:szCs w:val="22"/>
            <w:u w:val="single"/>
          </w:rPr>
          <w:t xml:space="preserve">https://edis.ifas.ufl.edu/pdffiles/IN/IN127900.pdf</w:t>
        </w:r>
      </w:hyperlink>
      <w:r>
        <w:rPr>
          <w:rFonts w:ascii="Calibri" w:hAnsi="Calibri" w:eastAsia="Calibri" w:cs="Calibri"/>
          <w:color w:val="000000"/>
          <w:sz w:val="22"/>
          <w:szCs w:val="22"/>
        </w:rPr>
        <w:t xml:space="preserve"> [Accessed 28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 &amp; Chen PJ (2015) The profile of GHF5 and GHF45 cellulases in 14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isolates originated from different hosts. </w:t>
      </w:r>
      <w:r>
        <w:rPr>
          <w:rFonts w:ascii="Calibri" w:hAnsi="Calibri" w:eastAsia="Calibri" w:cs="Calibri"/>
          <w:i/>
          <w:iCs/>
          <w:color w:val="000000"/>
          <w:sz w:val="22"/>
          <w:szCs w:val="22"/>
        </w:rPr>
        <w:t xml:space="preserve">Proceedings of the American Phytopathological Society 2015 Annual Meeting</w:t>
      </w:r>
      <w:r>
        <w:rPr>
          <w:rFonts w:ascii="Calibri" w:hAnsi="Calibri" w:eastAsia="Calibri" w:cs="Calibri"/>
          <w:color w:val="000000"/>
          <w:sz w:val="22"/>
          <w:szCs w:val="22"/>
        </w:rPr>
        <w:t xml:space="preserve">. Pasadena, California, USA. </w:t>
      </w:r>
      <w:hyperlink r:id="rId7338675016b018df4" w:history="1">
        <w:r>
          <w:rPr>
            <w:rFonts w:ascii="Calibri" w:hAnsi="Calibri" w:eastAsia="Calibri" w:cs="Calibri"/>
            <w:color w:val="0000CC"/>
            <w:sz w:val="22"/>
            <w:szCs w:val="22"/>
            <w:u w:val="single"/>
          </w:rPr>
          <w:t xml:space="preserve">https://www.apsnet.org/meetings/Documents/2015_meeting_abstracts/aps2015abP194.htm</w:t>
        </w:r>
      </w:hyperlink>
      <w:r>
        <w:rPr>
          <w:rFonts w:ascii="Calibri" w:hAnsi="Calibri" w:eastAsia="Calibri" w:cs="Calibri"/>
          <w:color w:val="000000"/>
          <w:sz w:val="22"/>
          <w:szCs w:val="22"/>
        </w:rPr>
        <w:t xml:space="preserve"> [accessed on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G-L, Kuo T-H, Tsay T-T, Tsai IJ, Chen PJ (2016) Glycoside hydrolase (GH) 45 and 5 candidate cellulases in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isolated from bird’s-nest fern.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 e0158663. </w:t>
      </w:r>
    </w:p>
    <w:p>
      <w:pPr>
        <w:widowControl w:val="on"/>
        <w:pBdr/>
        <w:spacing w:before="220" w:after="220" w:line="240" w:lineRule="auto"/>
        <w:ind w:left="0" w:right="0"/>
        <w:jc w:val="left"/>
      </w:pPr>
      <w:r>
        <w:rPr>
          <w:rFonts w:ascii="Calibri" w:hAnsi="Calibri" w:eastAsia="Calibri" w:cs="Calibri"/>
          <w:color w:val="000000"/>
          <w:sz w:val="22"/>
          <w:szCs w:val="22"/>
        </w:rPr>
        <w:t xml:space="preserve">Yang JI &amp; Yu GY (2018) A loop-mediated isothermal amplification assay combined with lateral flow dipstick for rapid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Supplement 1.59. </w:t>
      </w:r>
    </w:p>
    <w:p>
      <w:pPr>
        <w:widowControl w:val="on"/>
        <w:pBdr/>
        <w:spacing w:before="220" w:after="220" w:line="240" w:lineRule="auto"/>
        <w:ind w:left="0" w:right="0"/>
        <w:jc w:val="left"/>
      </w:pPr>
      <w:r>
        <w:rPr>
          <w:rFonts w:ascii="Calibri" w:hAnsi="Calibri" w:eastAsia="Calibri" w:cs="Calibri"/>
          <w:color w:val="000000"/>
          <w:sz w:val="22"/>
          <w:szCs w:val="22"/>
        </w:rPr>
        <w:t xml:space="preserve">Zhuo K, Cui R, Ye W, Luo M, Wang H, Hu X &amp; Liao J (2010). Morphological and molecular characterization of </w:t>
      </w:r>
      <w:r>
        <w:rPr>
          <w:rFonts w:ascii="Calibri" w:hAnsi="Calibri" w:eastAsia="Calibri" w:cs="Calibri"/>
          <w:i/>
          <w:iCs/>
          <w:color w:val="000000"/>
          <w:sz w:val="22"/>
          <w:szCs w:val="22"/>
        </w:rPr>
        <w:t xml:space="preserve">Aphelenchoides fujianensis</w:t>
      </w:r>
      <w:r>
        <w:rPr>
          <w:rFonts w:ascii="Calibri" w:hAnsi="Calibri" w:eastAsia="Calibri" w:cs="Calibri"/>
          <w:color w:val="000000"/>
          <w:sz w:val="22"/>
          <w:szCs w:val="22"/>
        </w:rPr>
        <w:t xml:space="preserve"> n.sp. (Nematoda: Aphelenchoididae) from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2509</w:t>
      </w:r>
      <w:r>
        <w:rPr>
          <w:rFonts w:ascii="Calibri" w:hAnsi="Calibri" w:eastAsia="Calibri" w:cs="Calibri"/>
          <w:color w:val="000000"/>
          <w:sz w:val="22"/>
          <w:szCs w:val="22"/>
        </w:rPr>
        <w:t xml:space="preserve">, 39-52.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Sue Hockland</w:t>
      </w:r>
      <w:r>
        <w:rPr>
          <w:rFonts w:ascii="Calibri" w:hAnsi="Calibri" w:eastAsia="Calibri" w:cs="Calibri"/>
          <w:color w:val="000000"/>
          <w:sz w:val="22"/>
          <w:szCs w:val="22"/>
        </w:rPr>
        <w:t xml:space="preserv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EPPO datasheets on pests recommended for regulation. Available online. </w:t>
      </w:r>
      <w:hyperlink r:id="rId8742675016b0190b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122, </w:t>
      </w:r>
      <w:r>
        <w:rPr>
          <w:rFonts w:ascii="Calibri" w:hAnsi="Calibri" w:eastAsia="Calibri" w:cs="Calibri"/>
          <w:i/>
          <w:iCs/>
          <w:color w:val="000000"/>
          <w:sz w:val="22"/>
          <w:szCs w:val="22"/>
        </w:rPr>
        <w:t xml:space="preserve">Aphelenchoides besseyi</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w:t>
      </w:r>
      <w:hyperlink r:id="rId1843675016b019219" w:history="1">
        <w:r>
          <w:rPr>
            <w:rFonts w:ascii="Calibri" w:hAnsi="Calibri" w:eastAsia="Calibri" w:cs="Calibri"/>
            <w:color w:val="0000CC"/>
            <w:sz w:val="22"/>
            <w:szCs w:val="22"/>
            <w:u w:val="single"/>
          </w:rPr>
          <w:t xml:space="preserve">https://doi.org/10.1111/j.1365-2338.1981.tb01752.x</w:t>
        </w:r>
      </w:hyperlink>
      <w:r>
        <w:rPr>
          <w:rFonts w:ascii="Calibri" w:hAnsi="Calibri" w:eastAsia="Calibri" w:cs="Calibri"/>
          <w:color w:val="000000"/>
          <w:sz w:val="22"/>
          <w:szCs w:val="22"/>
        </w:rPr>
        <w:t xml:space="preserve"> </w:t>
      </w:r>
    </w:p>
    <w:p>
      <w:r>
        <w:drawing>
          <wp:inline distT="0" distB="0" distL="0" distR="0">
            <wp:extent cx="1800000" cy="604800"/>
            <wp:docPr id="94893218" name="name8219675016b0192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81675016b0192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749890">
    <w:multiLevelType w:val="hybridMultilevel"/>
    <w:lvl w:ilvl="0" w:tplc="72913012">
      <w:start w:val="1"/>
      <w:numFmt w:val="decimal"/>
      <w:lvlText w:val="%1."/>
      <w:lvlJc w:val="left"/>
      <w:pPr>
        <w:ind w:left="720" w:hanging="360"/>
      </w:pPr>
    </w:lvl>
    <w:lvl w:ilvl="1" w:tplc="72913012" w:tentative="1">
      <w:start w:val="1"/>
      <w:numFmt w:val="lowerLetter"/>
      <w:lvlText w:val="%2."/>
      <w:lvlJc w:val="left"/>
      <w:pPr>
        <w:ind w:left="1440" w:hanging="360"/>
      </w:pPr>
    </w:lvl>
    <w:lvl w:ilvl="2" w:tplc="72913012" w:tentative="1">
      <w:start w:val="1"/>
      <w:numFmt w:val="lowerRoman"/>
      <w:lvlText w:val="%3."/>
      <w:lvlJc w:val="right"/>
      <w:pPr>
        <w:ind w:left="2160" w:hanging="180"/>
      </w:pPr>
    </w:lvl>
    <w:lvl w:ilvl="3" w:tplc="72913012" w:tentative="1">
      <w:start w:val="1"/>
      <w:numFmt w:val="decimal"/>
      <w:lvlText w:val="%4."/>
      <w:lvlJc w:val="left"/>
      <w:pPr>
        <w:ind w:left="2880" w:hanging="360"/>
      </w:pPr>
    </w:lvl>
    <w:lvl w:ilvl="4" w:tplc="72913012" w:tentative="1">
      <w:start w:val="1"/>
      <w:numFmt w:val="lowerLetter"/>
      <w:lvlText w:val="%5."/>
      <w:lvlJc w:val="left"/>
      <w:pPr>
        <w:ind w:left="3600" w:hanging="360"/>
      </w:pPr>
    </w:lvl>
    <w:lvl w:ilvl="5" w:tplc="72913012" w:tentative="1">
      <w:start w:val="1"/>
      <w:numFmt w:val="lowerRoman"/>
      <w:lvlText w:val="%6."/>
      <w:lvlJc w:val="right"/>
      <w:pPr>
        <w:ind w:left="4320" w:hanging="180"/>
      </w:pPr>
    </w:lvl>
    <w:lvl w:ilvl="6" w:tplc="72913012" w:tentative="1">
      <w:start w:val="1"/>
      <w:numFmt w:val="decimal"/>
      <w:lvlText w:val="%7."/>
      <w:lvlJc w:val="left"/>
      <w:pPr>
        <w:ind w:left="5040" w:hanging="360"/>
      </w:pPr>
    </w:lvl>
    <w:lvl w:ilvl="7" w:tplc="72913012" w:tentative="1">
      <w:start w:val="1"/>
      <w:numFmt w:val="lowerLetter"/>
      <w:lvlText w:val="%8."/>
      <w:lvlJc w:val="left"/>
      <w:pPr>
        <w:ind w:left="5760" w:hanging="360"/>
      </w:pPr>
    </w:lvl>
    <w:lvl w:ilvl="8" w:tplc="72913012" w:tentative="1">
      <w:start w:val="1"/>
      <w:numFmt w:val="lowerRoman"/>
      <w:lvlText w:val="%9."/>
      <w:lvlJc w:val="right"/>
      <w:pPr>
        <w:ind w:left="6480" w:hanging="180"/>
      </w:pPr>
    </w:lvl>
  </w:abstractNum>
  <w:abstractNum w:abstractNumId="88749889">
    <w:multiLevelType w:val="hybridMultilevel"/>
    <w:lvl w:ilvl="0" w:tplc="948572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49889">
    <w:abstractNumId w:val="88749889"/>
  </w:num>
  <w:num w:numId="88749890">
    <w:abstractNumId w:val="887498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5915955" Type="http://schemas.microsoft.com/office/2011/relationships/commentsExtended" Target="commentsExtended.xml"/><Relationship Id="rId578600722" Type="http://schemas.microsoft.com/office/2011/relationships/people" Target="people.xml"/><Relationship Id="rId1119675016b014a07" Type="http://schemas.openxmlformats.org/officeDocument/2006/relationships/hyperlink" Target="https://gd.eppo.int/taxon/APLOBE/" TargetMode="External"/><Relationship Id="rId9933675016b014a6f" Type="http://schemas.openxmlformats.org/officeDocument/2006/relationships/hyperlink" Target="https://gd.eppo.int/taxon/APLOBE/categorization" TargetMode="External"/><Relationship Id="rId5278675016b014c96" Type="http://schemas.openxmlformats.org/officeDocument/2006/relationships/hyperlink" Target="https://gd.eppo.int/taxon/APLOBE/photos" TargetMode="External"/><Relationship Id="rId7287675016b017946" Type="http://schemas.openxmlformats.org/officeDocument/2006/relationships/hyperlink" Target="https://www.cabi.org/isc/datasheet/6378#toidentity" TargetMode="External"/><Relationship Id="rId8635675016b017c59" Type="http://schemas.openxmlformats.org/officeDocument/2006/relationships/hyperlink" Target="https://edis.ifas.ufl.edu/in1184" TargetMode="External"/><Relationship Id="rId2024675016b017e2d" Type="http://schemas.openxmlformats.org/officeDocument/2006/relationships/hyperlink" Target="https://onlinelibrary.wiley.com/doi/epdf/10.1111/j.1365-2338.2009.02342_3.x" TargetMode="External"/><Relationship Id="rId2904675016b01809a" Type="http://schemas.openxmlformats.org/officeDocument/2006/relationships/hyperlink" Target="https://www.eppo.int/media/uploaded_images/ACTIVITIES/plant_quarantine/pm1-002-28-en.pdf" TargetMode="External"/><Relationship Id="rId4718675016b0181a3" Type="http://schemas.openxmlformats.org/officeDocument/2006/relationships/hyperlink" Target="https://doi.org/10.1371/journal.pone.0040886" TargetMode="External"/><Relationship Id="rId3675675016b018240" Type="http://schemas.openxmlformats.org/officeDocument/2006/relationships/hyperlink" Target="https://www.cabi.org/isc/abstract/19730804884" TargetMode="External"/><Relationship Id="rId9351675016b018334" Type="http://schemas.openxmlformats.org/officeDocument/2006/relationships/hyperlink" Target="https://www.ippc.int/static/media/files/publication/en/2016/11/DP_17_2016_En_2016-11-01_iaK6Hls.pdf" TargetMode="External"/><Relationship Id="rId8640675016b0183b4" Type="http://schemas.openxmlformats.org/officeDocument/2006/relationships/hyperlink" Target="https://www.seedtest.org/upload/cms/user/ISTASHmethods20207-025.pdf" TargetMode="External"/><Relationship Id="rId3252675016b01883e" Type="http://schemas.openxmlformats.org/officeDocument/2006/relationships/hyperlink" Target="https://rnqp.eppo.int/recommendations/" TargetMode="External"/><Relationship Id="rId2341675016b018895" Type="http://schemas.openxmlformats.org/officeDocument/2006/relationships/hyperlink" Target="https://apsjournals.apsnet.org/doi/10.1094/PHYTO-05-12-0114-R" TargetMode="External"/><Relationship Id="rId6271675016b018d73" Type="http://schemas.openxmlformats.org/officeDocument/2006/relationships/hyperlink" Target="https://edis.ifas.ufl.edu/pdffiles/IN/IN127900.pdf" TargetMode="External"/><Relationship Id="rId7338675016b018df4" Type="http://schemas.openxmlformats.org/officeDocument/2006/relationships/hyperlink" Target="https://www.apsnet.org/meetings/Documents/2015_meeting_abstracts/aps2015abP194.htm" TargetMode="External"/><Relationship Id="rId8742675016b0190b1" Type="http://schemas.openxmlformats.org/officeDocument/2006/relationships/hyperlink" Target="https://gd.eppo.int" TargetMode="External"/><Relationship Id="rId1843675016b019219" Type="http://schemas.openxmlformats.org/officeDocument/2006/relationships/hyperlink" Target="https://doi.org/10.1111/j.1365-2338.1981.tb01752.x" TargetMode="External"/><Relationship Id="rId7006675016b014b60" Type="http://schemas.openxmlformats.org/officeDocument/2006/relationships/image" Target="media/imgrId7006675016b014b60.jpg"/><Relationship Id="rId8207675016b016512" Type="http://schemas.openxmlformats.org/officeDocument/2006/relationships/image" Target="media/imgrId8207675016b016512.jpg"/><Relationship Id="rId5881675016b01927f" Type="http://schemas.openxmlformats.org/officeDocument/2006/relationships/image" Target="media/imgrId5881675016b0192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