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occidentalis occidentalis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occidentalis occidentalis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Freeman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freemani</w:t>
            </w:r>
            <w:r>
              <w:rPr>
                <w:rFonts w:ascii="Calibri" w:hAnsi="Calibri" w:eastAsia="Calibri" w:cs="Calibri"/>
                <w:color w:val="000000"/>
                <w:position w:val="-3"/>
                <w:sz w:val="22"/>
                <w:szCs w:val="22"/>
              </w:rPr>
              <w:t xml:space="preserve"> Razowski, </w:t>
            </w:r>
            <w:r>
              <w:rPr>
                <w:rFonts w:ascii="Calibri" w:hAnsi="Calibri" w:eastAsia="Calibri" w:cs="Calibri"/>
                <w:i/>
                <w:iCs/>
                <w:color w:val="000000"/>
                <w:position w:val="-3"/>
                <w:sz w:val="22"/>
                <w:szCs w:val="22"/>
              </w:rPr>
              <w:t xml:space="preserve">Choristoneura occidentalis</w:t>
            </w:r>
            <w:r>
              <w:rPr>
                <w:rFonts w:ascii="Calibri" w:hAnsi="Calibri" w:eastAsia="Calibri" w:cs="Calibri"/>
                <w:color w:val="000000"/>
                <w:position w:val="-3"/>
                <w:sz w:val="22"/>
                <w:szCs w:val="22"/>
              </w:rPr>
              <w:t xml:space="preserve"> Freeman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spruce budworm</w:t>
            </w:r>
            <w:hyperlink r:id="rId7211665c14f159a4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967665c14f159aa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and nomenclature of </w:t>
      </w:r>
      <w:r>
        <w:rPr>
          <w:rFonts w:ascii="Calibri" w:hAnsi="Calibri" w:eastAsia="Calibri" w:cs="Calibri"/>
          <w:i/>
          <w:iCs/>
          <w:color w:val="000000"/>
          <w:sz w:val="22"/>
          <w:szCs w:val="22"/>
        </w:rPr>
        <w:t xml:space="preserve">Choristoneura occidentalis occidentalis</w:t>
      </w:r>
      <w:r>
        <w:rPr>
          <w:rFonts w:ascii="Calibri" w:hAnsi="Calibri" w:eastAsia="Calibri" w:cs="Calibri"/>
          <w:color w:val="000000"/>
          <w:sz w:val="22"/>
          <w:szCs w:val="22"/>
        </w:rPr>
        <w:t xml:space="preserve"> Freeman, 1967 has been the subject of some controversy in recent years. Freeman (1967) first described this species based on the examination of specimens from extensive collections of conifer-feeding budworms across North America. Razowski (2008) proposed </w:t>
      </w:r>
      <w:r>
        <w:rPr>
          <w:rFonts w:ascii="Calibri" w:hAnsi="Calibri" w:eastAsia="Calibri" w:cs="Calibri"/>
          <w:i/>
          <w:iCs/>
          <w:color w:val="000000"/>
          <w:sz w:val="22"/>
          <w:szCs w:val="22"/>
        </w:rPr>
        <w:t xml:space="preserve">C. freemani</w:t>
      </w:r>
      <w:r>
        <w:rPr>
          <w:rFonts w:ascii="Calibri" w:hAnsi="Calibri" w:eastAsia="Calibri" w:cs="Calibri"/>
          <w:color w:val="000000"/>
          <w:sz w:val="22"/>
          <w:szCs w:val="22"/>
        </w:rPr>
        <w:t xml:space="preserve"> as a replacement name after moving the West African species </w:t>
      </w:r>
      <w:r>
        <w:rPr>
          <w:rFonts w:ascii="Calibri" w:hAnsi="Calibri" w:eastAsia="Calibri" w:cs="Calibri"/>
          <w:i/>
          <w:iCs/>
          <w:color w:val="000000"/>
          <w:sz w:val="22"/>
          <w:szCs w:val="22"/>
        </w:rPr>
        <w:t xml:space="preserve">Cacoecia occidentalis</w:t>
      </w:r>
      <w:r>
        <w:rPr>
          <w:rFonts w:ascii="Calibri" w:hAnsi="Calibri" w:eastAsia="Calibri" w:cs="Calibri"/>
          <w:color w:val="000000"/>
          <w:sz w:val="22"/>
          <w:szCs w:val="22"/>
        </w:rPr>
        <w:t xml:space="preserve"> Walsingham, 1981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This new name was largely ignored until Gilligan &amp; Brown (2014) discussed the taxonomic issues created by Razowski’s (2008) generic reassignment, but provisionally accepted the new name until further evidence was published or a formal challenge was made.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formally challenged Razowski’s 2008 transfer of </w:t>
      </w:r>
      <w:r>
        <w:rPr>
          <w:rFonts w:ascii="Calibri" w:hAnsi="Calibri" w:eastAsia="Calibri" w:cs="Calibri"/>
          <w:i/>
          <w:iCs/>
          <w:color w:val="000000"/>
          <w:sz w:val="22"/>
          <w:szCs w:val="22"/>
        </w:rPr>
        <w:t xml:space="preserve">Cacoecia occidentalis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following a genetic analysis of the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group in western Canada. Additionally,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demoted the two-year cycle budworm, </w:t>
      </w:r>
      <w:r>
        <w:rPr>
          <w:rFonts w:ascii="Calibri" w:hAnsi="Calibri" w:eastAsia="Calibri" w:cs="Calibri"/>
          <w:i/>
          <w:iCs/>
          <w:color w:val="000000"/>
          <w:sz w:val="22"/>
          <w:szCs w:val="22"/>
        </w:rPr>
        <w:t xml:space="preserve">C. biennis</w:t>
      </w:r>
      <w:r>
        <w:rPr>
          <w:rFonts w:ascii="Calibri" w:hAnsi="Calibri" w:eastAsia="Calibri" w:cs="Calibri"/>
          <w:color w:val="000000"/>
          <w:sz w:val="22"/>
          <w:szCs w:val="22"/>
        </w:rPr>
        <w:t xml:space="preserve">, to a subspecies of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More recently,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redefined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1859 based on a genetic analysis of 105 species of Archipini and other Tortricidae. They exclude C. </w:t>
      </w:r>
      <w:r>
        <w:rPr>
          <w:rFonts w:ascii="Calibri" w:hAnsi="Calibri" w:eastAsia="Calibri" w:cs="Calibri"/>
          <w:i/>
          <w:iCs/>
          <w:color w:val="000000"/>
          <w:sz w:val="22"/>
          <w:szCs w:val="22"/>
        </w:rPr>
        <w:t xml:space="preserve">freemani</w:t>
      </w:r>
      <w:r>
        <w:rPr>
          <w:rFonts w:ascii="Calibri" w:hAnsi="Calibri" w:eastAsia="Calibri" w:cs="Calibri"/>
          <w:color w:val="000000"/>
          <w:sz w:val="22"/>
          <w:szCs w:val="22"/>
        </w:rPr>
        <w:t xml:space="preserve"> Razowski from </w:t>
      </w:r>
      <w:r>
        <w:rPr>
          <w:rFonts w:ascii="Calibri" w:hAnsi="Calibri" w:eastAsia="Calibri" w:cs="Calibri"/>
          <w:i/>
          <w:iCs/>
          <w:color w:val="000000"/>
          <w:sz w:val="22"/>
          <w:szCs w:val="22"/>
        </w:rPr>
        <w:t xml:space="preserve">Choristoneura.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occurs principally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also on other forest trees such as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In the EPPO region these host plants can be found in Northern and Central European forests.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is confined to North America, where outbreaks were first recorded in 1909 in Vancouver Island (British Columbia, Canada), and in Idaho (USA) in 1922.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then established itself as a serious pest throughout the Pacific Coast States, British Columbia and Rocky Mountain States.  Recent molecular studies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in Western Canada have identified populations in southern Alberta and southwest Saskatchewan (Lumley &amp; Sperling, 2011).</w:t>
      </w:r>
    </w:p>
    <w:p>
      <w:r>
        <w:drawing>
          <wp:inline distT="0" distB="0" distL="0" distR="0">
            <wp:extent cx="6120000" cy="3067200"/>
            <wp:docPr id="31603012" name="name4012665c14f15afc1" descr="ARCHO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OC_distribution_map.jpg"/>
                    <pic:cNvPicPr/>
                  </pic:nvPicPr>
                  <pic:blipFill>
                    <a:blip r:embed="rId7388665c14f15afb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United States of America (Arizona, California, Colorado, Idaho, Montana, New Mexico,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summer (July and August) and hatch in about 10 days. The newly hatched larvae do not feed but spin silken shelters among lichens and under bark scales in which they hibernate. In the following spring, they mine old needles until bud swelling, and then bore into the buds and feed upon the growing needles. Later they loosely web the growing tips and feed upon new needles. Pupation takes place after six larval instars. Predictive models of phenology of this pest for use in integrated pest management have been described (Dennis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Kemp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Nealis &amp; Régnière,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feed principally in buds and on foliage of forest trees and heavy attacks can cause complete defoliation in 4-5 years. Infested trees can show a growth reduction, deformity, top killing and may die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Damage to cones and seeds has also been observed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in the Rocky Mountains.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light-green, oval, and about 1.2 long. They are laid in masses (like shingles) on the underside of needles with between 30 and 60 eggs per mass (Carolin, 1987).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light-green with brown heads. Head capsules are, on average, 0.27 mm wide in first instar larvae and increase to an average of 1.86 mm wide in sixth instars (Stein, 1981).  Fully-grown larvae are 25-32 mm long with a brownish head, olive and reddish-brown body and prominent ivory spots at the setal bases (Carolin, 1987).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12-16 mm long, broad at the head end but tapering rapidly toward the tail. Colouration is typically reddish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adults are mottled orange-brown or rust coloured, occasionally grey, approximately 11 mm long with a wing-span of 22-28 mm (Freeman, 1967).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predominantly laid on the underside of needles and due to their cryptic coloration are difficult to see.  Acciavatti &amp; Jennings (1976) found that examining branches under UV light increased the probability of egg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Second-instar larvae overwintering in silken hibernacula can only be reliably detected by washing foliated branches for several hours in a 2% solution of heated sodium hydroxide, followed by sieving and separating the small larvae using hexane floatation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Actively feeding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ssp. larvae can be distinguished from other associated larvae using the key of Stevens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can occur as larvae spin down on long silken threads (Fellin, 1984), and spread is also ensured by moth flight. In international trade,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is liable to be carried by plants for planting and cut foliage of conifer host plants as second-instar hibernating larvae. Egg masses are only laid on live foliage and, as they typically hatch within 10 days, present minimal risk (Carolin,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is one of the most destructive forest defoliators in Western North America. Heavy and repeated attacks can lead to top-killing of the trees and tree mortality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Population control and foliage protection can be achieved through the use of aerial applications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(Cunningham, 1984).  Applications of baculoviruses against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do not appear to be sufficiently effective (Otvos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Natural enemies such as the parasitoids </w:t>
      </w:r>
      <w:r>
        <w:rPr>
          <w:rFonts w:ascii="Calibri" w:hAnsi="Calibri" w:eastAsia="Calibri" w:cs="Calibri"/>
          <w:i/>
          <w:iCs/>
          <w:color w:val="000000"/>
          <w:sz w:val="22"/>
          <w:szCs w:val="22"/>
        </w:rPr>
        <w:t xml:space="preserve">Glypta fumiferanae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Apanteles fumiferanae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Phytodietus fumiferanae</w:t>
      </w:r>
      <w:r>
        <w:rPr>
          <w:rFonts w:ascii="Calibri" w:hAnsi="Calibri" w:eastAsia="Calibri" w:cs="Calibri"/>
          <w:color w:val="000000"/>
          <w:sz w:val="22"/>
          <w:szCs w:val="22"/>
        </w:rPr>
        <w:t xml:space="preserve"> can affect populations of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(Furniss &amp; Carolin, 1977), but do not seem to prevent outbreaks and subsequent defoliation in most parts of its range (Nealis, 2016). Silvicultural methods, such as thinning (Carlson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nitrogen fertilization, may have an influence on pest populations, though they do not appear to be predominant environmental factors (Mason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This serious pest of forest trees presents a definite risk for Northern and Central European forests.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infested countries can be recommended as appropriate measures to prevent introduction of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w:t>
      </w:r>
      <w:r>
        <w:rPr>
          <w:rFonts w:ascii="Calibri" w:hAnsi="Calibri" w:eastAsia="Calibri" w:cs="Calibri"/>
          <w:i/>
          <w:iCs/>
          <w:color w:val="000000"/>
          <w:sz w:val="22"/>
          <w:szCs w:val="22"/>
        </w:rPr>
        <w:t xml:space="preserve"> occidentalis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Acciavatti RE, Jennings DT, Forest RM &amp; Station RE (1976) Locating western spruce budworm egg masses with ultraviolet light. Research Note RM-313. U.S. Dept. of Agriculture, Forest Service, Rocky Mountain Forest and Range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van Sickle GA, Thomson AJ &amp; Wegwitz E (1982) Tree mortality and radial growth losses caused by the western spruce budworm in a Douglas-fir stand in British Columbia.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780-787.</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Thomson AJ &amp; van Sickle GA (1985) Quantification of Douglas-fir growth losses caused by western spruce budworm defoliation using stem analysis.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(2017) Two's company, three's a crowd: new insights on spruce budworm species boundaries using genotyping-by-sequencing in an integrative species assessment (Lepidoptera: Tortricidae).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CE, Schmidt WC, Fellin DG &amp; Wulf NW (1984) Silvicultural Approaches to Western Spruce Budworm Management in the Northern U.S. Rocky Mountains.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Carolin VM (1987) Life History and Behavior. In </w:t>
      </w:r>
      <w:r>
        <w:rPr>
          <w:rFonts w:ascii="Calibri" w:hAnsi="Calibri" w:eastAsia="Calibri" w:cs="Calibri"/>
          <w:i/>
          <w:iCs/>
          <w:color w:val="000000"/>
          <w:sz w:val="22"/>
          <w:szCs w:val="22"/>
        </w:rPr>
        <w:t xml:space="preserve">Western Spruce Budworm</w:t>
      </w:r>
      <w:r>
        <w:rPr>
          <w:rFonts w:ascii="Calibri" w:hAnsi="Calibri" w:eastAsia="Calibri" w:cs="Calibri"/>
          <w:color w:val="000000"/>
          <w:sz w:val="22"/>
          <w:szCs w:val="22"/>
        </w:rPr>
        <w:t xml:space="preserve"> (eds Brookes MH, Campbell RW,  Colbert JJ, Mitchell RG &amp; Stark RW), pp. 29-42. United States Department of Agriculture,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JC (1984) Biorationales for Control of Spruce Budworms.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Dennis B, Kemp WP &amp; Beckwith RC (1986) Stochastic model of insect phenology: estimation and testing.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540-546.</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FL, Dombroskie JJ, Byun BK, De Prins J, Simonsen TJ, Baez M, Brunet BMT &amp; Sperling FAH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Fellin, DG (1984) Dispersal of Western Spruce Budworm Larvae and Adults as related to Silvicultural Treatments.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USDA Forest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Brown JW (2014) A new name for the western spruce budworm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583-589.</w:t>
      </w:r>
    </w:p>
    <w:p>
      <w:pPr>
        <w:widowControl w:val="on"/>
        <w:pBdr/>
        <w:spacing w:before="220" w:after="220" w:line="240" w:lineRule="auto"/>
        <w:ind w:left="0" w:right="0"/>
        <w:jc w:val="left"/>
      </w:pPr>
      <w:r>
        <w:rPr>
          <w:rFonts w:ascii="Calibri" w:hAnsi="Calibri" w:eastAsia="Calibri" w:cs="Calibri"/>
          <w:color w:val="000000"/>
          <w:sz w:val="22"/>
          <w:szCs w:val="22"/>
        </w:rPr>
        <w:t xml:space="preserve">Kemp WP, Dennis B &amp; Beckwith RC (1986) Stochastic phenology model for the western spruce budworm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547-554.</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w:t>
      </w:r>
    </w:p>
    <w:p>
      <w:pPr>
        <w:widowControl w:val="on"/>
        <w:pBdr/>
        <w:spacing w:before="220" w:after="220" w:line="240" w:lineRule="auto"/>
        <w:ind w:left="0" w:right="0"/>
        <w:jc w:val="left"/>
      </w:pPr>
      <w:r>
        <w:rPr>
          <w:rFonts w:ascii="Calibri" w:hAnsi="Calibri" w:eastAsia="Calibri" w:cs="Calibri"/>
          <w:color w:val="000000"/>
          <w:sz w:val="22"/>
          <w:szCs w:val="22"/>
        </w:rPr>
        <w:t xml:space="preserve">Mason RR, Wickman BE, Beckwith RC &amp; Paul HG (1992) Thinning and nitrogen fertilization in a grand fir stand infested with western spruce budworm. Part I. Insect response.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235-251.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 &amp; Régnière J (2014) An individual-based phenology model for western spruce budworm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306-320.</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S33-S57.</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Cunningham JC &amp; Kaupp WP (1989) Aerial application of two baculoviruses against the western spruce budworm </w:t>
      </w:r>
      <w:r>
        <w:rPr>
          <w:rFonts w:ascii="Calibri" w:hAnsi="Calibri" w:eastAsia="Calibri" w:cs="Calibri"/>
          <w:i/>
          <w:iCs/>
          <w:color w:val="000000"/>
          <w:sz w:val="22"/>
          <w:szCs w:val="22"/>
        </w:rPr>
        <w:t xml:space="preserve">Choristoneura occidentalis</w:t>
      </w:r>
      <w:r>
        <w:rPr>
          <w:rFonts w:ascii="Calibri" w:hAnsi="Calibri" w:eastAsia="Calibri" w:cs="Calibri"/>
          <w:color w:val="000000"/>
          <w:sz w:val="22"/>
          <w:szCs w:val="22"/>
        </w:rPr>
        <w:t xml:space="preserve"> Freeman (Lepidoptera: Tortricidae)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209-217.</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(2008) Tortricidae (Lepidoptera) from South Africa. 6: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Hubner and </w:t>
      </w:r>
      <w:r>
        <w:rPr>
          <w:rFonts w:ascii="Calibri" w:hAnsi="Calibri" w:eastAsia="Calibri" w:cs="Calibri"/>
          <w:i/>
          <w:iCs/>
          <w:color w:val="000000"/>
          <w:sz w:val="22"/>
          <w:szCs w:val="22"/>
        </w:rPr>
        <w:t xml:space="preserve">Procrica</w:t>
      </w:r>
      <w:r>
        <w:rPr>
          <w:rFonts w:ascii="Calibri" w:hAnsi="Calibri" w:eastAsia="Calibri" w:cs="Calibri"/>
          <w:color w:val="000000"/>
          <w:sz w:val="22"/>
          <w:szCs w:val="22"/>
        </w:rPr>
        <w:t xml:space="preserve"> Diakonoff. </w:t>
      </w:r>
      <w:r>
        <w:rPr>
          <w:rFonts w:ascii="Calibri" w:hAnsi="Calibri" w:eastAsia="Calibri" w:cs="Calibri"/>
          <w:i/>
          <w:iCs/>
          <w:color w:val="000000"/>
          <w:sz w:val="22"/>
          <w:szCs w:val="22"/>
        </w:rPr>
        <w:t xml:space="preserve">Polish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Stein JD (1981) Notes on the biology of the western spruce budworm, </w:t>
      </w:r>
      <w:r>
        <w:rPr>
          <w:rFonts w:ascii="Calibri" w:hAnsi="Calibri" w:eastAsia="Calibri" w:cs="Calibri"/>
          <w:i/>
          <w:iCs/>
          <w:color w:val="000000"/>
          <w:sz w:val="22"/>
          <w:szCs w:val="22"/>
        </w:rPr>
        <w:t xml:space="preserve">Choristoneura occidentalis</w:t>
      </w:r>
      <w:r>
        <w:rPr>
          <w:rFonts w:ascii="Calibri" w:hAnsi="Calibri" w:eastAsia="Calibri" w:cs="Calibri"/>
          <w:color w:val="000000"/>
          <w:sz w:val="22"/>
          <w:szCs w:val="22"/>
        </w:rPr>
        <w:t xml:space="preserve"> (Lepidoptera: tortricidae), in north central Washington.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Carolin VM &amp; Markin GP (1984) Lepidoptera associated with western spruce budworm. In </w:t>
      </w:r>
      <w:r>
        <w:rPr>
          <w:rFonts w:ascii="Calibri" w:hAnsi="Calibri" w:eastAsia="Calibri" w:cs="Calibri"/>
          <w:i/>
          <w:iCs/>
          <w:color w:val="000000"/>
          <w:sz w:val="22"/>
          <w:szCs w:val="22"/>
        </w:rPr>
        <w:t xml:space="preserve">Spruce budworms handbook</w:t>
      </w:r>
      <w:r>
        <w:rPr>
          <w:rFonts w:ascii="Calibri" w:hAnsi="Calibri" w:eastAsia="Calibri" w:cs="Calibri"/>
          <w:color w:val="000000"/>
          <w:sz w:val="22"/>
          <w:szCs w:val="22"/>
        </w:rPr>
        <w:t xml:space="preserve">. United States Cooperative State Research Service, Canada/United States Spruce Budworms Program. U.S. Department of Agriculture, Forest Service, Cooperative State Research Service, Agricultural Handbook No. 622, p. 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Brian Van Hezewijk, Natural Resources Canada –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occidentalis occidentalis</w:t>
      </w:r>
      <w:r>
        <w:rPr>
          <w:rFonts w:ascii="Calibri" w:hAnsi="Calibri" w:eastAsia="Calibri" w:cs="Calibri"/>
          <w:color w:val="000000"/>
          <w:sz w:val="22"/>
          <w:szCs w:val="22"/>
        </w:rPr>
        <w:t xml:space="preserve">. EPPO datasheets on pests recommended for regulation. Available online. </w:t>
      </w:r>
      <w:hyperlink r:id="rId9091665c14f15c3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3951949" name="name9787665c14f15c4b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54665c14f15c4b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19073">
    <w:multiLevelType w:val="hybridMultilevel"/>
    <w:lvl w:ilvl="0" w:tplc="91861165">
      <w:start w:val="1"/>
      <w:numFmt w:val="decimal"/>
      <w:lvlText w:val="%1."/>
      <w:lvlJc w:val="left"/>
      <w:pPr>
        <w:ind w:left="720" w:hanging="360"/>
      </w:pPr>
    </w:lvl>
    <w:lvl w:ilvl="1" w:tplc="91861165" w:tentative="1">
      <w:start w:val="1"/>
      <w:numFmt w:val="lowerLetter"/>
      <w:lvlText w:val="%2."/>
      <w:lvlJc w:val="left"/>
      <w:pPr>
        <w:ind w:left="1440" w:hanging="360"/>
      </w:pPr>
    </w:lvl>
    <w:lvl w:ilvl="2" w:tplc="91861165" w:tentative="1">
      <w:start w:val="1"/>
      <w:numFmt w:val="lowerRoman"/>
      <w:lvlText w:val="%3."/>
      <w:lvlJc w:val="right"/>
      <w:pPr>
        <w:ind w:left="2160" w:hanging="180"/>
      </w:pPr>
    </w:lvl>
    <w:lvl w:ilvl="3" w:tplc="91861165" w:tentative="1">
      <w:start w:val="1"/>
      <w:numFmt w:val="decimal"/>
      <w:lvlText w:val="%4."/>
      <w:lvlJc w:val="left"/>
      <w:pPr>
        <w:ind w:left="2880" w:hanging="360"/>
      </w:pPr>
    </w:lvl>
    <w:lvl w:ilvl="4" w:tplc="91861165" w:tentative="1">
      <w:start w:val="1"/>
      <w:numFmt w:val="lowerLetter"/>
      <w:lvlText w:val="%5."/>
      <w:lvlJc w:val="left"/>
      <w:pPr>
        <w:ind w:left="3600" w:hanging="360"/>
      </w:pPr>
    </w:lvl>
    <w:lvl w:ilvl="5" w:tplc="91861165" w:tentative="1">
      <w:start w:val="1"/>
      <w:numFmt w:val="lowerRoman"/>
      <w:lvlText w:val="%6."/>
      <w:lvlJc w:val="right"/>
      <w:pPr>
        <w:ind w:left="4320" w:hanging="180"/>
      </w:pPr>
    </w:lvl>
    <w:lvl w:ilvl="6" w:tplc="91861165" w:tentative="1">
      <w:start w:val="1"/>
      <w:numFmt w:val="decimal"/>
      <w:lvlText w:val="%7."/>
      <w:lvlJc w:val="left"/>
      <w:pPr>
        <w:ind w:left="5040" w:hanging="360"/>
      </w:pPr>
    </w:lvl>
    <w:lvl w:ilvl="7" w:tplc="91861165" w:tentative="1">
      <w:start w:val="1"/>
      <w:numFmt w:val="lowerLetter"/>
      <w:lvlText w:val="%8."/>
      <w:lvlJc w:val="left"/>
      <w:pPr>
        <w:ind w:left="5760" w:hanging="360"/>
      </w:pPr>
    </w:lvl>
    <w:lvl w:ilvl="8" w:tplc="91861165" w:tentative="1">
      <w:start w:val="1"/>
      <w:numFmt w:val="lowerRoman"/>
      <w:lvlText w:val="%9."/>
      <w:lvlJc w:val="right"/>
      <w:pPr>
        <w:ind w:left="6480" w:hanging="180"/>
      </w:pPr>
    </w:lvl>
  </w:abstractNum>
  <w:abstractNum w:abstractNumId="23219072">
    <w:multiLevelType w:val="hybridMultilevel"/>
    <w:lvl w:ilvl="0" w:tplc="71018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19072">
    <w:abstractNumId w:val="23219072"/>
  </w:num>
  <w:num w:numId="23219073">
    <w:abstractNumId w:val="232190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6847132" Type="http://schemas.microsoft.com/office/2011/relationships/commentsExtended" Target="commentsExtended.xml"/><Relationship Id="rId179987379" Type="http://schemas.microsoft.com/office/2011/relationships/people" Target="people.xml"/><Relationship Id="rId7211665c14f159a43" Type="http://schemas.openxmlformats.org/officeDocument/2006/relationships/hyperlink" Target="https://gd.eppo.int/taxon/ARCHOC/" TargetMode="External"/><Relationship Id="rId6967665c14f159aad" Type="http://schemas.openxmlformats.org/officeDocument/2006/relationships/hyperlink" Target="https://gd.eppo.int/taxon/ARCHOC/categorization" TargetMode="External"/><Relationship Id="rId9091665c14f15c372" Type="http://schemas.openxmlformats.org/officeDocument/2006/relationships/hyperlink" Target="https://gd.eppo.int" TargetMode="External"/><Relationship Id="rId7388665c14f15afbd" Type="http://schemas.openxmlformats.org/officeDocument/2006/relationships/image" Target="media/imgrId7388665c14f15afbd.jpg"/><Relationship Id="rId5454665c14f15c4b2" Type="http://schemas.openxmlformats.org/officeDocument/2006/relationships/image" Target="media/imgrId5454665c14f15c4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