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Arceuthobium abietinum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Arceuthobium abietinum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(Engelmann) Engelmann ex Munz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Santalales: Santalaceae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 dwarf mistletoe</w:t>
            </w:r>
            <w:hyperlink r:id="rId237867ced200b86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87067ced200b86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AREAB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Mathiasen and Kenaley (2019) have recombined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The species consists of three subspecies, which are morphologically distinct and exhibit a high degree of host specificity: (1)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(white fir dwarf mistletoe), (2)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(red fir dwarf mistletoe), (3)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 </w:t>
      </w:r>
      <w:r>
        <w:rPr>
          <w:rFonts w:ascii="Calibri" w:hAnsi="Calibri" w:eastAsia="Calibri" w:cs="Calibri"/>
          <w:color w:val="000000"/>
          <w:sz w:val="22"/>
          <w:szCs w:val="22"/>
        </w:rPr>
        <w:t xml:space="preserve">(Wiens' dwarf mistletoe). The new designations from Mathiasen and Kenaley (2019) are used in the datasheet. Recently, Kenaley (2020) proposed two further subspecies, namely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mathiasenii</w:t>
      </w:r>
      <w:r>
        <w:rPr>
          <w:rFonts w:ascii="Calibri" w:hAnsi="Calibri" w:eastAsia="Calibri" w:cs="Calibri"/>
          <w:color w:val="000000"/>
          <w:sz w:val="22"/>
          <w:szCs w:val="22"/>
        </w:rPr>
        <w:t xml:space="preserve"> (Mathiasen’s dwarf mistletoe), and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grandae</w:t>
      </w:r>
      <w:r>
        <w:rPr>
          <w:rFonts w:ascii="Calibri" w:hAnsi="Calibri" w:eastAsia="Calibri" w:cs="Calibri"/>
          <w:color w:val="000000"/>
          <w:sz w:val="22"/>
          <w:szCs w:val="22"/>
        </w:rPr>
        <w:t xml:space="preserve"> (grand fir dwarf mistletoe).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abietinum </w:t>
      </w:r>
      <w:r>
        <w:rPr>
          <w:rFonts w:ascii="Calibri" w:hAnsi="Calibri" w:eastAsia="Calibri" w:cs="Calibri"/>
          <w:color w:val="000000"/>
          <w:sz w:val="22"/>
          <w:szCs w:val="22"/>
        </w:rPr>
        <w:t xml:space="preserve">is a common plant parasite of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(Douglas ex D. Don) Lindl. (grand fir),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(Gordon) A. Murray bis (Sierra white fir),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(Gord. et Glend.) Lindl. ex Hildebr. (Rocky Mountain white fir), and the hybrid populations of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in the Pacific Northwest and California, USA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Mathiasen and Kenaley, 2019). It also parasitizes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Martínez (Durango fir) in Durango and Chihuahua, Mexico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produces heavy infections on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Watson (Brewer spruce)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was also reported on </w:t>
      </w:r>
      <w:r>
        <w:rPr>
          <w:rFonts w:ascii="Calibri" w:hAnsi="Calibri" w:eastAsia="Calibri" w:cs="Calibri"/>
          <w:i/>
          <w:iCs/>
          <w:color w:val="000000"/>
          <w:sz w:val="22"/>
          <w:szCs w:val="22"/>
        </w:rPr>
        <w:t xml:space="preserve">Tsuga mertensiana</w:t>
      </w:r>
      <w:r>
        <w:rPr>
          <w:rFonts w:ascii="Calibri" w:hAnsi="Calibri" w:eastAsia="Calibri" w:cs="Calibri"/>
          <w:color w:val="000000"/>
          <w:sz w:val="22"/>
          <w:szCs w:val="22"/>
        </w:rPr>
        <w:t xml:space="preserve"> (Bong.) Carrière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Oregon, USA. These trees were growing among severely infected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(Mathiasen, 2002). The white fir dwarf mistletoe was found to be parasitizing </w:t>
      </w:r>
      <w:r>
        <w:rPr>
          <w:rFonts w:ascii="Calibri" w:hAnsi="Calibri" w:eastAsia="Calibri" w:cs="Calibri"/>
          <w:i/>
          <w:iCs/>
          <w:color w:val="000000"/>
          <w:sz w:val="22"/>
          <w:szCs w:val="22"/>
        </w:rPr>
        <w:t xml:space="preserve">Pinus mexicana</w:t>
      </w:r>
      <w:r>
        <w:rPr>
          <w:rFonts w:ascii="Calibri" w:hAnsi="Calibri" w:eastAsia="Calibri" w:cs="Calibri"/>
          <w:color w:val="000000"/>
          <w:sz w:val="22"/>
          <w:szCs w:val="22"/>
        </w:rPr>
        <w:t xml:space="preserve"> Martínez in Southern Chihuahua, Mexico (Mathiasen, 2010). Infected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Parry ex Engelm. has been observed in Oregon, USA by Oblinger (2015).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(Hook.) Nutt. is occasionally parasitized where this tree grows in association with infected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(Arizona, USA). Moreover, the authors stated that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(Douglas ex Loudon) J. Forbes is a rare host (Oregon, USA) as well as different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Ehrenb. ex Schltdl.,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murayama</w:t>
      </w:r>
      <w:r>
        <w:rPr>
          <w:rFonts w:ascii="Calibri" w:hAnsi="Calibri" w:eastAsia="Calibri" w:cs="Calibri"/>
          <w:color w:val="000000"/>
          <w:sz w:val="22"/>
          <w:szCs w:val="22"/>
        </w:rPr>
        <w:t xml:space="preserve"> (Balf.) S.Watson,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Douglas,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Douglas ex D. Don).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(red fir)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its varieties </w:t>
      </w:r>
      <w:r>
        <w:rPr>
          <w:rFonts w:ascii="Calibri" w:hAnsi="Calibri" w:eastAsia="Calibri" w:cs="Calibri"/>
          <w:i/>
          <w:iCs/>
          <w:color w:val="000000"/>
          <w:sz w:val="22"/>
          <w:szCs w:val="22"/>
        </w:rPr>
        <w:t xml:space="preserve">crutchfieldii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shastensis</w:t>
      </w:r>
      <w:r>
        <w:rPr>
          <w:rFonts w:ascii="Calibri" w:hAnsi="Calibri" w:eastAsia="Calibri" w:cs="Calibri"/>
          <w:color w:val="000000"/>
          <w:sz w:val="22"/>
          <w:szCs w:val="22"/>
        </w:rPr>
        <w:t xml:space="preserv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is a severe parasite on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and occasionally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It is rarely parasitic on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(Mathiasen and Daugherty, 2009).</w:t>
      </w:r>
    </w:p>
    <w:p>
      <w:pPr>
        <w:widowControl w:val="on"/>
        <w:pBdr/>
        <w:spacing w:before="220" w:after="220" w:line="240" w:lineRule="auto"/>
        <w:ind w:left="0" w:right="0"/>
        <w:jc w:val="both"/>
      </w:pPr>
    </w:p>
    <w:p>
      <w:pPr>
        <w:widowControl w:val="on"/>
        <w:pBdr/>
        <w:spacing w:before="220" w:after="220" w:line="240" w:lineRule="auto"/>
        <w:ind w:left="0" w:right="0"/>
        <w:jc w:val="both"/>
      </w:pPr>
      <w:r>
        <w:rPr>
          <w:rFonts w:ascii="Calibri" w:hAnsi="Calibri" w:eastAsia="Calibri" w:cs="Calibri"/>
          <w:b/>
          <w:bCs/>
          <w:color w:val="000000"/>
          <w:sz w:val="22"/>
          <w:szCs w:val="22"/>
        </w:rPr>
        <w:br/>
        <w:t xml:space="preserve">Table: Susceptibility of hosts of </w:t>
      </w:r>
      <w:r>
        <w:rPr>
          <w:rFonts w:ascii="Calibri" w:hAnsi="Calibri" w:eastAsia="Calibri" w:cs="Calibri"/>
          <w:b/>
          <w:bCs/>
          <w:i/>
          <w:iCs/>
          <w:color w:val="000000"/>
          <w:sz w:val="22"/>
          <w:szCs w:val="22"/>
        </w:rPr>
        <w:t xml:space="preserve">Arceuthobium abietinum. </w:t>
      </w:r>
      <w:r>
        <w:rPr>
          <w:rFonts w:ascii="Calibri" w:hAnsi="Calibri" w:eastAsia="Calibri" w:cs="Calibri"/>
          <w:color w:val="000000"/>
          <w:sz w:val="22"/>
          <w:szCs w:val="22"/>
        </w:rPr>
        <w:t xml:space="preserve">Note: for the mistletoes there is a classification system of susceptibility (= rare, occasionally, secondary and principal host) and this is adopted for the three subspecies.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1741.5730337079"/>
        <w:gridCol w:w="1292.1348314607"/>
        <w:gridCol w:w="1966.2921348315"/>
      </w:tblGrid>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p>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Principal hosts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Secondary [s], Occasional [o], </w:t>
            </w:r>
            <w:r>
              <w:rPr>
                <w:rFonts w:ascii="Calibri" w:hAnsi="Calibri" w:eastAsia="Calibri" w:cs="Calibri"/>
                <w:b/>
                <w:bCs/>
                <w:color w:val="000000"/>
                <w:position w:val="0"/>
                <w:sz w:val="22"/>
                <w:szCs w:val="22"/>
              </w:rPr>
              <w:br/>
              <w:t xml:space="preserve">  Rare [r] hosts</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abietinum</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lowiana</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grandis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durangensis</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 x A. grandis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 </w:t>
            </w:r>
            <w:r>
              <w:rPr>
                <w:rFonts w:ascii="Calibri" w:hAnsi="Calibri" w:eastAsia="Calibri" w:cs="Calibri"/>
                <w:color w:val="000000"/>
                <w:position w:val="0"/>
                <w:sz w:val="22"/>
                <w:szCs w:val="22"/>
              </w:rPr>
              <w:t xml:space="preserve">(s)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engelmannii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mexicana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Tsuga mertensiana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amabilis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ayacahuite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contorta </w:t>
            </w:r>
            <w:r>
              <w:rPr>
                <w:rFonts w:ascii="Calibri" w:hAnsi="Calibri" w:eastAsia="Calibri" w:cs="Calibri"/>
                <w:color w:val="000000"/>
                <w:position w:val="0"/>
                <w:sz w:val="22"/>
                <w:szCs w:val="22"/>
              </w:rPr>
              <w:t xml:space="preserve">var.</w:t>
            </w:r>
            <w:r>
              <w:rPr>
                <w:rFonts w:ascii="Calibri" w:hAnsi="Calibri" w:eastAsia="Calibri" w:cs="Calibri"/>
                <w:i/>
                <w:iCs/>
                <w:color w:val="000000"/>
                <w:position w:val="0"/>
                <w:sz w:val="22"/>
                <w:szCs w:val="22"/>
              </w:rPr>
              <w:t xml:space="preserve"> murrayana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lambertiana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magnificae</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r>
              <w:rPr>
                <w:rFonts w:ascii="Calibri" w:hAnsi="Calibri" w:eastAsia="Calibri" w:cs="Calibri"/>
                <w:i/>
                <w:iCs/>
                <w:color w:val="000000"/>
                <w:position w:val="0"/>
                <w:sz w:val="22"/>
                <w:szCs w:val="22"/>
              </w:rPr>
              <w:t xml:space="preserve"> </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  -</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w:t>
            </w:r>
            <w:r>
              <w:rPr>
                <w:rFonts w:ascii="Calibri" w:hAnsi="Calibri" w:eastAsia="Calibri" w:cs="Calibri"/>
                <w:color w:val="000000"/>
                <w:position w:val="0"/>
                <w:sz w:val="22"/>
                <w:szCs w:val="22"/>
              </w:rPr>
              <w:t xml:space="preserve"> subsp. </w:t>
            </w:r>
            <w:r>
              <w:rPr>
                <w:rFonts w:ascii="Calibri" w:hAnsi="Calibri" w:eastAsia="Calibri" w:cs="Calibri"/>
                <w:i/>
                <w:iCs/>
                <w:color w:val="000000"/>
                <w:position w:val="0"/>
                <w:sz w:val="22"/>
                <w:szCs w:val="22"/>
              </w:rPr>
              <w:t xml:space="preserve">wiensii</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concolor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bl>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 var. 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 subsp.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occurs in the Western United States and Mexico. A detailed description of its distribution and maps can be found in Mathiasen and Daugherty (2009) and Mathiasen and Kenaley, respectively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encompasses Southern Washington southward to Southern California. Isolated populations are present in Nevada, Utah and Arizona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species has also been found in Mexico (Southern Chihuahua, Durango)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 occurs from near sea level along the coast to over 2 650 m ASL (Southern Nevada).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occurs in Southwestern Oregon to the Southern Sierra Nevada in California (close to the border of Nevada) (Hawksworth and Wiens, 1996;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Its elevational range is from 1 500 to 2 400 m ASL.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wiensii </w:t>
      </w:r>
      <w:r>
        <w:rPr>
          <w:rFonts w:ascii="Calibri" w:hAnsi="Calibri" w:eastAsia="Calibri" w:cs="Calibri"/>
          <w:color w:val="000000"/>
          <w:sz w:val="22"/>
          <w:szCs w:val="22"/>
        </w:rPr>
        <w:t xml:space="preserve">has been found in the Klamath–Siskiyou Mountains in Northwestern California and Southwestern Oregon (Mathiasen, 2010).</w:t>
      </w:r>
    </w:p>
    <w:p>
      <w:r>
        <w:drawing>
          <wp:inline distT="0" distB="0" distL="0" distR="0">
            <wp:extent cx="6120000" cy="3067200"/>
            <wp:docPr id="77291480" name="name408167ced200bb3de" descr="ARE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B_distribution_map.jpg"/>
                    <pic:cNvPicPr/>
                  </pic:nvPicPr>
                  <pic:blipFill>
                    <a:blip r:embed="rId178167ced200bb3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Nevada,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 AND ECOLOGY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can be found in Hawksworth and Wiens (1996) and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life cycle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is distinctive because of two features: (1) obligate parasitism (i.e. an endophytic 'root' system ramifies within the host branch) and (2) hydrostatically controlled, explosive seed dispersal. General aspects of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(with a focus 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summarized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peak anthesis usually occurs from early-July to mid-September peaking in late-July to late August. Seed dispersal is from late August to late October peaking in late September to early October (Mathiasen and Daugherty, 2009; Mathiasen and Kenaley, 2019).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dioecious with populations usually exhibiting a 50/50 pistillate/staminate plant ratio. Pollination appears to be predominantly by generalist insects (especially ants and flies), but may also occur by wind. However, no true seeds are formed. The “seed” is an embryo that is embedded in chlorophyllous endosperm, surrounded by viscin (referred to seed hereafter). Dispersal of the seed is involves an explosive process, which expulses the seed with a force that could carry it for up to 10 m. Most seeds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however, are intercepted within 2 to 4 m by host needles by means of its viscin coating. Seed interception rates, however, are highly variable depending on variation in crown density, position of the dwarf mistletoe on the host, and needle characteristics. Many intercepted seeds are lost to disease, predation, or removal by rain. Less than 5% of intercepted seed establish new infections. The number of seeds produced on trees is variable and controlled by variation in the size of the endophytic system, host–parasite physiology, activity by pathogens and insects, and environmental conditions. Once an infection is established, the dwarf mistletoe develops a system of haustoria. After a period of a few years (approx. 2 to 5) from infection, initial shoots develop, and flowering occurs 1 to 2 years after shoot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is usually a swelling of the host tissues at the infection site, which eventually becomes fusiform (tapered at the ends). Shoots are the best indication that a tree is infected by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 the absence of shoots, examination with a hand lens of the affected bark, or of a cross section of it, will reveal yellowish, wedge-shaped sinkers, which were the small basal cups in which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shoots were inserted. Other obvious field symptoms of an infection are dying branches (flagging), crown thinning and forming of distorted host branches (witches’ brooms). Once the crown is heavily parasitized, growth rate declines rapidly and the height and diameter of trees is reduced, foliage yellows and becomes sparse, with a subsequent top dieback and eventual death (illustrative images of symptoms can be found in Worrall and Geils, 2006). Particularly in early stages of infection, however, symptoms may be subtle or absent.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a dioecious and obligate parasite with an endophytic ‘root’ system ramifying within the host branch. Plants are quite small (max. 25 cm), glabrous, and ‘the staminate buds [have the] same color as the subtending bracts’ (Hawksworth and Wiens 1996). The detailed description of the subspecies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follows Mathiasen and Daugherty (2009) and Mathiasen and Kenaley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can be 3.1 to 24.5 cm in height, with a mean of 11 cm. The basal diameter of dominate plants is 1.7 to 6.8 mm (mean 3.1 mm). The staminate plants are yellow-green, while pistillate plants are primarily yellow-green to green-brown. Staminate flowers are 3- or 4-partite and 2.9 mm and 3.8 mm in diameter (mean), respectively. Fruits are 3.2 to 6.2 mm (4.7 mm) long and 2.2 to 4.1 mm (3.0 mm) wide. Seed are 1.3 to 3.4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can reach 6.0 to 25.1 cm in height, with a mean of 12 cm. The basal diameter of dominate plants is 1.9 to 7.6 mm (mean 3.5 mm). The staminate plants are yellow-green, while pistillate plants are primarily yellow-green to brown-green. Staminate flowers are 3- or 4-partite and 2.6 mm and 3.8 mm in diameter (mean), respectively. Fruits are 3.4 to 5.9 mm (4.7 mm) long and 2.2 to 3.9 mm (3.0 mm) wide. Seed are 1.8 to 3.3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can reach 3.8 to 16.1 cm in height, with a mean of 9 cm. The basal diameter of dominate plants is 1.8 to 5.8 mm (mean 3.1 mm). The staminate plants are green-brown to red-brown, while pistillate plants are primarily green-brown to red-brown to yellow-brown. Staminate flowers are 3- or 4-partite and 2.8 mm in diameter (mean). Fruits are 3.1 to 5.0 mm (4.2 mm) long and 2.2 to 3.5 mm (3.0 mm) wide. Seed are 1.9 to 2.9 mm (2.4 mm) long and 0.9 to 1.5 mm (1.1 mm)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exhibit extreme host specificity often together with an occurrence only in certain geographical regions. They can be further separated by a few, but significantly different, morphological characters (e.g. shoot colour, plant height, basal diameter of male plants). Another difference between the subspecies is that they have slightly different flowering and seed dispersal periods (Mathiasen and Kenaley, 2019, Kenaley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initial stage of infection,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grows within the host tissue and cannot be detected by visual inspection. Mature</w:t>
      </w:r>
      <w:r>
        <w:rPr>
          <w:rFonts w:ascii="Calibri" w:hAnsi="Calibri" w:eastAsia="Calibri" w:cs="Calibri"/>
          <w:i/>
          <w:iCs/>
          <w:color w:val="000000"/>
          <w:sz w:val="22"/>
          <w:szCs w:val="22"/>
        </w:rPr>
        <w:t xml:space="preserve"> Arceuthobium abietinum</w:t>
      </w:r>
      <w:r>
        <w:rPr>
          <w:rFonts w:ascii="Calibri" w:hAnsi="Calibri" w:eastAsia="Calibri" w:cs="Calibri"/>
          <w:color w:val="000000"/>
          <w:sz w:val="22"/>
          <w:szCs w:val="22"/>
        </w:rPr>
        <w:t xml:space="preserve"> on infected host tress are conspicuous and can be easily noticed. Identification keys to distinguish the different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accessible (Hawksworth and Wiens, 1996). Molecular detection techniques for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not available yet, although polymerase chain reaction (PCR) techniques for detecting other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in tissues of their hosts have been developed (Marler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the main mean of dispersal over a short distance. Birds and mammals may be important for the rare long-distance dispersal of seeds to new infection centres. Movement of timber, which has not been completely de-barked, can result in movement of complete plants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and possible transfer of seeds to new sites (Hawksworth and Wiens, 1996;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host plants are the most likely pathway of accidental international spread. Plants for planting and cut-branches could carry living plants, especially in the prolonged endophytic stage before the external plant develops (Hawksworth and Wiens, 1996; CABI,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reduces growth (diameter, height, volume) of the host trees, increases susceptibility to drought stress, attack by other pathogens (decay fungi, such as </w:t>
      </w:r>
      <w:r>
        <w:rPr>
          <w:rFonts w:ascii="Calibri" w:hAnsi="Calibri" w:eastAsia="Calibri" w:cs="Calibri"/>
          <w:i/>
          <w:iCs/>
          <w:color w:val="000000"/>
          <w:sz w:val="22"/>
          <w:szCs w:val="22"/>
        </w:rPr>
        <w:t xml:space="preserve">Cytospora abietis</w:t>
      </w:r>
      <w:r>
        <w:rPr>
          <w:rFonts w:ascii="Calibri" w:hAnsi="Calibri" w:eastAsia="Calibri" w:cs="Calibri"/>
          <w:color w:val="000000"/>
          <w:sz w:val="22"/>
          <w:szCs w:val="22"/>
        </w:rPr>
        <w:t xml:space="preserve">), insects, and direct or indirect mortality (Hawksworth and Wiens, 1996; Mehl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Mathiasen, 2019). The effects of infections are dependent on multiple interacting factors, such as, physiological status and developmental stage of the host, occurrence of pathogens, stand density and water availability (Hawksworth and Wiens, 1996). Infection rates of the hosts could be very high. In the Sierra Nevada Mountains (USA), Mathiasen (2019) reported that almost 99% of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98% of </w:t>
      </w:r>
      <w:r>
        <w:rPr>
          <w:rFonts w:ascii="Calibri" w:hAnsi="Calibri" w:eastAsia="Calibri" w:cs="Calibri"/>
          <w:i/>
          <w:iCs/>
          <w:color w:val="000000"/>
          <w:sz w:val="22"/>
          <w:szCs w:val="22"/>
        </w:rPr>
        <w:t xml:space="preserve">Abies lowiana </w:t>
      </w:r>
      <w:r>
        <w:rPr>
          <w:rFonts w:ascii="Calibri" w:hAnsi="Calibri" w:eastAsia="Calibri" w:cs="Calibri"/>
          <w:color w:val="000000"/>
          <w:sz w:val="22"/>
          <w:szCs w:val="22"/>
        </w:rPr>
        <w:t xml:space="preserve">were infected in stands infested with subspecies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respectively.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annual mortality rates in the Sierra Nevada Mountains for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of 1.8% and 3.0%, respectively. The authors stated that the most significant of multiple factors (i.e. drought, pathogens) involved in the mortality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was the presence of the respective dwarf mistletoe.</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figures reveal that</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are very damaging in North American forests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Losses in terms of timber production have been estimated at 11.3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wood in Western USA and 3.8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Western Canada (Worrall and Geils,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strategies for the control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have been developed (e.g. Muir and Geils, 2003; Worrall and Geils, 2006; Hofmann,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has a few characteristics that can enhance the success of silvicultural treatments (Muir and Geils,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obligate parasites and need a living host in order to survive and reproduce, they have a limited seed dispersal, slow intensification within tree crowns, and an extended life cycle. Infections in both individual trees and stands are generally easy to detect (stem swellings, presence of yellowish shoots of the dwarf mistletoe, witches’ brooms). </w:t>
      </w:r>
    </w:p>
    <w:p>
      <w:pPr>
        <w:widowControl w:val="on"/>
        <w:pBdr/>
        <w:spacing w:before="220" w:after="220" w:line="240" w:lineRule="auto"/>
        <w:ind w:left="0" w:right="0"/>
        <w:jc w:val="both"/>
      </w:pPr>
      <w:r>
        <w:rPr>
          <w:rFonts w:ascii="Calibri" w:hAnsi="Calibri" w:eastAsia="Calibri" w:cs="Calibri"/>
          <w:color w:val="000000"/>
          <w:sz w:val="22"/>
          <w:szCs w:val="22"/>
        </w:rPr>
        <w:t xml:space="preserve">Thus, basic management strategies include (Muir and Geils, 2003; Hofmann, 2010):</w:t>
      </w:r>
    </w:p>
    <w:p>
      <w:pPr>
        <w:widowControl w:val="on"/>
        <w:pBdr/>
        <w:spacing w:before="220" w:after="220" w:line="240" w:lineRule="auto"/>
        <w:ind w:left="0" w:right="0"/>
        <w:jc w:val="left"/>
      </w:pPr>
      <w:r>
        <w:rPr>
          <w:rFonts w:ascii="Calibri" w:hAnsi="Calibri" w:eastAsia="Calibri" w:cs="Calibri"/>
          <w:color w:val="000000"/>
          <w:sz w:val="22"/>
          <w:szCs w:val="22"/>
        </w:rPr>
        <w:t xml:space="preserve">- Roguing infested tress or pruning brooms and infected branches. </w:t>
      </w:r>
    </w:p>
    <w:p>
      <w:pPr>
        <w:widowControl w:val="on"/>
        <w:pBdr/>
        <w:spacing w:before="220" w:after="220" w:line="240" w:lineRule="auto"/>
        <w:ind w:left="0" w:right="0"/>
        <w:jc w:val="left"/>
      </w:pPr>
      <w:r>
        <w:rPr>
          <w:rFonts w:ascii="Calibri" w:hAnsi="Calibri" w:eastAsia="Calibri" w:cs="Calibri"/>
          <w:color w:val="000000"/>
          <w:sz w:val="22"/>
          <w:szCs w:val="22"/>
        </w:rPr>
        <w:t xml:space="preserve">- Replacing affected stands with mistletoe-free regeneration.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 Precommercial thinning: promoting overall tree vigor, stimulating host height.</w:t>
      </w:r>
    </w:p>
    <w:p>
      <w:pPr>
        <w:widowControl w:val="on"/>
        <w:pBdr/>
        <w:spacing w:before="220" w:after="220" w:line="240" w:lineRule="auto"/>
        <w:ind w:left="0" w:right="0"/>
        <w:jc w:val="left"/>
      </w:pPr>
      <w:r>
        <w:rPr>
          <w:rFonts w:ascii="Calibri" w:hAnsi="Calibri" w:eastAsia="Calibri" w:cs="Calibri"/>
          <w:color w:val="000000"/>
          <w:sz w:val="22"/>
          <w:szCs w:val="22"/>
        </w:rPr>
        <w:t xml:space="preserve">- Commercial thinning: select trees for removal in a stand that have a dwarf mistletoe rating (DMR) &gt; 3. DMR is a scale for determining the relative population status of a dwarf mistletoe infestation in a stand. Trees with DMR of 3 and less, especially those with infections limited to the lower third of the crown, will most likely not suffer from significant growth losses. </w:t>
      </w:r>
    </w:p>
    <w:p>
      <w:pPr>
        <w:widowControl w:val="on"/>
        <w:pBdr/>
        <w:spacing w:before="220" w:after="220" w:line="240" w:lineRule="auto"/>
        <w:ind w:left="0" w:right="0"/>
        <w:jc w:val="left"/>
      </w:pPr>
      <w:r>
        <w:rPr>
          <w:rFonts w:ascii="Calibri" w:hAnsi="Calibri" w:eastAsia="Calibri" w:cs="Calibri"/>
          <w:color w:val="000000"/>
          <w:sz w:val="22"/>
          <w:szCs w:val="22"/>
        </w:rPr>
        <w:t xml:space="preserve">- Controlled use of fire: it can reduce the abundance of dwarf mistletoes, as heavily affected trees are less likely to survive ground fire than less affected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and biological control options appear to be inadequate (Shamoun and DeWald, 2002). A chemical option is the application of ethephon (2-chloroethyl phosphoric acid). It works like a natural growth-regulator causing early abscission of flowers, fruits, and shoots of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It has been evaluated for numerous mistletoe–host combinations, but not for any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-host species, yet. Moreover, ethephon does not affect the endophytic system, thus new shoots and fruits develop soon after application. A variety of insects and pathogens attack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but none has been yet developed sufficiently for practical application.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Panel (2018) concluded that impacts on coniferous woodlands, plantations, ornamental trees and nurseries can be expected, if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introduced into the European Union. </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include species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Though the principal hosts of the species presented in this data sheet are indigenous to North America, they are cultivated in the EPPO region to some extent (e.g.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in horticulture and landscaping). Once accidentally introduced, there is a risk that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would find hosts on which to multiply, and cause damage in central, eastern and northern European conifer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EPPO (2018) the specific phytosanitary measures include that plants for planting (except seeds) and cut branches (including cut Christmas trees without roots or soil)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should originate from pest-free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Bragard C, Di Serio F, Gonthier P, Jacques M-A, Jaques Miret JA, Justesen AF, MacLeod A, Magnusson CS, Milonas P, Navas-Cortes JA, Parnell S, Potting R, Reignault PL, Thulke H-H, Van der Werf W, Vicent A, Yuen J, Zappala L, Boberg J, Pautasso M and Dehnen-Schmutz K (2018) Scientific Opinion on the pest categorisation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5384,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(1996) </w:t>
      </w:r>
      <w:r>
        <w:rPr>
          <w:rFonts w:ascii="Calibri" w:hAnsi="Calibri" w:eastAsia="Calibri" w:cs="Calibri"/>
          <w:i/>
          <w:iCs/>
          <w:color w:val="000000"/>
          <w:sz w:val="22"/>
          <w:szCs w:val="22"/>
        </w:rPr>
        <w:t xml:space="preserve">Dwarf mistletoes: Biology, pathology, and systematics</w:t>
      </w:r>
      <w:r>
        <w:rPr>
          <w:rFonts w:ascii="Calibri" w:hAnsi="Calibri" w:eastAsia="Calibri" w:cs="Calibri"/>
          <w:color w:val="000000"/>
          <w:sz w:val="22"/>
          <w:szCs w:val="22"/>
        </w:rPr>
        <w:t xml:space="preserve">. Agriculture Handbook 709, USDA Forest Service,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Geils BW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in North America. In: Mistletoes of North American conifers, eds. BW Geils, J Cibrian-Tovar, B Moody, Chapter 4, pp. 29–56,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Hofmann JT (2010) </w:t>
      </w:r>
      <w:r>
        <w:rPr>
          <w:rFonts w:ascii="Calibri" w:hAnsi="Calibri" w:eastAsia="Calibri" w:cs="Calibri"/>
          <w:i/>
          <w:iCs/>
          <w:color w:val="000000"/>
          <w:sz w:val="22"/>
          <w:szCs w:val="22"/>
        </w:rPr>
        <w:t xml:space="preserve">Management Guide for Dwarf Mistletoe</w:t>
      </w:r>
      <w:r>
        <w:rPr>
          <w:rFonts w:ascii="Calibri" w:hAnsi="Calibri" w:eastAsia="Calibri" w:cs="Calibri"/>
          <w:color w:val="000000"/>
          <w:sz w:val="22"/>
          <w:szCs w:val="22"/>
        </w:rPr>
        <w:t xml:space="preserve">. US Forest Service. Accessed September 2020, </w:t>
      </w:r>
      <w:hyperlink r:id="rId737467ced200bdde9" w:history="1">
        <w:r>
          <w:rPr>
            <w:rFonts w:ascii="Calibri" w:hAnsi="Calibri" w:eastAsia="Calibri" w:cs="Calibri"/>
            <w:color w:val="0000CC"/>
            <w:sz w:val="22"/>
            <w:szCs w:val="22"/>
            <w:u w:val="single"/>
          </w:rPr>
          <w:t xml:space="preserve">https://www.fs.usda.gov/Internet/FSE_DOCUMENTS/stelprdb5187427.pdf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Kenaley SC (2020) New subspecies of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Viscaceae) from the western United States and northern Mexico. </w:t>
      </w:r>
      <w:r>
        <w:rPr>
          <w:rFonts w:ascii="Calibri" w:hAnsi="Calibri" w:eastAsia="Calibri" w:cs="Calibri"/>
          <w:i/>
          <w:iCs/>
          <w:color w:val="000000"/>
          <w:sz w:val="22"/>
          <w:szCs w:val="22"/>
        </w:rPr>
        <w:t xml:space="preserve">Journal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27–45.</w:t>
      </w:r>
    </w:p>
    <w:p>
      <w:pPr>
        <w:widowControl w:val="on"/>
        <w:pBdr/>
        <w:spacing w:before="220" w:after="220" w:line="240" w:lineRule="auto"/>
        <w:ind w:left="0" w:right="0"/>
        <w:jc w:val="left"/>
      </w:pPr>
      <w:r>
        <w:rPr>
          <w:rFonts w:ascii="Calibri" w:hAnsi="Calibri" w:eastAsia="Calibri" w:cs="Calibri"/>
          <w:color w:val="000000"/>
          <w:sz w:val="22"/>
          <w:szCs w:val="22"/>
        </w:rPr>
        <w:t xml:space="preserve">Marler M, Pedersen D, Mitchell-Olds T, Callaway RM (1999) A polymerase chain reaction method for detecting dwarf mistletoe infection in Douglas-fir and western larch.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1317–1321.</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 (2002) First report of white fir dwarf mistletoe on mountain hemlock.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1274.</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(2010)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Mexican Spruce (</w:t>
      </w:r>
      <w:r>
        <w:rPr>
          <w:rFonts w:ascii="Calibri" w:hAnsi="Calibri" w:eastAsia="Calibri" w:cs="Calibri"/>
          <w:i/>
          <w:iCs/>
          <w:color w:val="000000"/>
          <w:sz w:val="22"/>
          <w:szCs w:val="22"/>
        </w:rPr>
        <w:t xml:space="preserve">Picea mexicana</w:t>
      </w:r>
      <w:r>
        <w:rPr>
          <w:rFonts w:ascii="Calibri" w:hAnsi="Calibri" w:eastAsia="Calibri" w:cs="Calibri"/>
          <w:color w:val="000000"/>
          <w:sz w:val="22"/>
          <w:szCs w:val="22"/>
        </w:rPr>
        <w:t xml:space="preserve">) in Northern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635.</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(2019) Susceptibility of red fir and white fir to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e12516.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Daugherty CM (2009)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a new subspecies of fir dwarf mistletoe (Viscaceae) from northern California and southern Oregon.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118–126.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Kenaley SC (2019) A morphological comparison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campylopodum</w:t>
      </w:r>
      <w:r>
        <w:rPr>
          <w:rFonts w:ascii="Calibri" w:hAnsi="Calibri" w:eastAsia="Calibri" w:cs="Calibri"/>
          <w:color w:val="000000"/>
          <w:sz w:val="22"/>
          <w:szCs w:val="22"/>
        </w:rPr>
        <w:t xml:space="preserve"> (Viscaceae) and nomenclatural changes for </w:t>
      </w:r>
      <w:r>
        <w:rPr>
          <w:rFonts w:ascii="Calibri" w:hAnsi="Calibri" w:eastAsia="Calibri" w:cs="Calibri"/>
          <w:i/>
          <w:iCs/>
          <w:color w:val="000000"/>
          <w:sz w:val="22"/>
          <w:szCs w:val="22"/>
        </w:rPr>
        <w:t xml:space="preserve">A. 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83–101.</w:t>
      </w:r>
    </w:p>
    <w:p>
      <w:pPr>
        <w:widowControl w:val="on"/>
        <w:pBdr/>
        <w:spacing w:before="220" w:after="220" w:line="240" w:lineRule="auto"/>
        <w:ind w:left="0" w:right="0"/>
        <w:jc w:val="left"/>
      </w:pPr>
      <w:r>
        <w:rPr>
          <w:rFonts w:ascii="Calibri" w:hAnsi="Calibri" w:eastAsia="Calibri" w:cs="Calibri"/>
          <w:color w:val="000000"/>
          <w:sz w:val="22"/>
          <w:szCs w:val="22"/>
        </w:rPr>
        <w:t xml:space="preserve">Mehl HK, Mori S R, Frankel SJ, Rizzo DM (2013) Mortality and growth of dwarf mistletoe‐infected red and white fir and the efficacy of thinning for reducing associated losses.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Mortenson LA, Gray AN, Shaw DC (2015) A forest health inventory assessment of red fir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in upper montane California. </w:t>
      </w:r>
      <w:r>
        <w:rPr>
          <w:rFonts w:ascii="Calibri" w:hAnsi="Calibri" w:eastAsia="Calibri" w:cs="Calibri"/>
          <w:i/>
          <w:iCs/>
          <w:color w:val="000000"/>
          <w:sz w:val="22"/>
          <w:szCs w:val="22"/>
        </w:rPr>
        <w:t xml:space="preserve">Écoscience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Muir JA and Geils BW (2002) Management strategies for dwarf mistletoe: Silviculture. In: Mistletoes of North American conifers, eds. BW Geils, J Cibrian-Tovar, B Moody, Chapter 8, pp. 83–94,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Oblinger BW (2015)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from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1041.</w:t>
      </w:r>
    </w:p>
    <w:p>
      <w:pPr>
        <w:widowControl w:val="on"/>
        <w:pBdr/>
        <w:spacing w:before="220" w:after="220" w:line="240" w:lineRule="auto"/>
        <w:ind w:left="0" w:right="0"/>
        <w:jc w:val="left"/>
      </w:pPr>
      <w:r>
        <w:rPr>
          <w:rFonts w:ascii="Calibri" w:hAnsi="Calibri" w:eastAsia="Calibri" w:cs="Calibri"/>
          <w:color w:val="000000"/>
          <w:sz w:val="22"/>
          <w:szCs w:val="22"/>
        </w:rPr>
        <w:t xml:space="preserve">Quiñonez Barraza S, Mathiasen R, Gonzalez-Elizondo S (2013)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Durango fir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from Durango,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DeWald LE (2002) Management strategies for dwarf mistletoes: Biological, chemical, and genetic approaches. In: Mistletoes of North American conifers, eds. BW Geils, J Cibrian-Tovar, B Moody, Chapter 7, pp. 75–82,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Worrall J, Geils B (2006). Dwarf mistletoes. The Plant Health Instructor. Accessed September 2020. </w:t>
      </w:r>
      <w:hyperlink r:id="rId332067ced200be74e" w:history="1">
        <w:r>
          <w:rPr>
            <w:rFonts w:ascii="Calibri" w:hAnsi="Calibri" w:eastAsia="Calibri" w:cs="Calibri"/>
            <w:color w:val="0000CC"/>
            <w:sz w:val="22"/>
            <w:szCs w:val="22"/>
            <w:u w:val="single"/>
          </w:rPr>
          <w:t xml:space="preserve">https://www.apsnet.org/edcenter/disandpath/parasiticplants/pdlessons/Pages/Dwarfmistletoes.aspx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(fir dwarf mistletoe). Accessed September 2020, </w:t>
      </w:r>
      <w:hyperlink r:id="rId219167ced200be7fd" w:history="1">
        <w:r>
          <w:rPr>
            <w:rFonts w:ascii="Calibri" w:hAnsi="Calibri" w:eastAsia="Calibri" w:cs="Calibri"/>
            <w:color w:val="0000CC"/>
            <w:sz w:val="22"/>
            <w:szCs w:val="22"/>
            <w:u w:val="single"/>
          </w:rPr>
          <w:t xml:space="preserve">https://www.cabi.org/isc/datasheet/6823#1793906A-A18F-4B19-AB5E-F68B7962DA63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Swen Follak.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EPPO datasheets on pests recommended for regulation. Available online. </w:t>
      </w:r>
      <w:hyperlink r:id="rId455667ced200be9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40,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33-39. </w:t>
      </w:r>
      <w:hyperlink r:id="rId458567ced200beb95" w:history="1">
        <w:r>
          <w:rPr>
            <w:rFonts w:ascii="Calibri" w:hAnsi="Calibri" w:eastAsia="Calibri" w:cs="Calibri"/>
            <w:color w:val="0000CC"/>
            <w:sz w:val="22"/>
            <w:szCs w:val="22"/>
            <w:u w:val="single"/>
          </w:rPr>
          <w:t xml:space="preserve">https://doi.org/10.1111/j.1365-2338.1980.tb02691.x</w:t>
        </w:r>
      </w:hyperlink>
      <w:r>
        <w:rPr>
          <w:rFonts w:ascii="Calibri" w:hAnsi="Calibri" w:eastAsia="Calibri" w:cs="Calibri"/>
          <w:color w:val="000000"/>
          <w:sz w:val="22"/>
          <w:szCs w:val="22"/>
        </w:rPr>
        <w:t xml:space="preserve"> </w:t>
      </w:r>
    </w:p>
    <w:p>
      <w:r>
        <w:drawing>
          <wp:inline distT="0" distB="0" distL="0" distR="0">
            <wp:extent cx="1800000" cy="604800"/>
            <wp:docPr id="23361427" name="name722867ced200bee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0167ced200bee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212812">
    <w:multiLevelType w:val="hybridMultilevel"/>
    <w:lvl w:ilvl="0" w:tplc="73685037">
      <w:start w:val="1"/>
      <w:numFmt w:val="decimal"/>
      <w:lvlText w:val="%1."/>
      <w:lvlJc w:val="left"/>
      <w:pPr>
        <w:ind w:left="720" w:hanging="360"/>
      </w:pPr>
    </w:lvl>
    <w:lvl w:ilvl="1" w:tplc="73685037" w:tentative="1">
      <w:start w:val="1"/>
      <w:numFmt w:val="lowerLetter"/>
      <w:lvlText w:val="%2."/>
      <w:lvlJc w:val="left"/>
      <w:pPr>
        <w:ind w:left="1440" w:hanging="360"/>
      </w:pPr>
    </w:lvl>
    <w:lvl w:ilvl="2" w:tplc="73685037" w:tentative="1">
      <w:start w:val="1"/>
      <w:numFmt w:val="lowerRoman"/>
      <w:lvlText w:val="%3."/>
      <w:lvlJc w:val="right"/>
      <w:pPr>
        <w:ind w:left="2160" w:hanging="180"/>
      </w:pPr>
    </w:lvl>
    <w:lvl w:ilvl="3" w:tplc="73685037" w:tentative="1">
      <w:start w:val="1"/>
      <w:numFmt w:val="decimal"/>
      <w:lvlText w:val="%4."/>
      <w:lvlJc w:val="left"/>
      <w:pPr>
        <w:ind w:left="2880" w:hanging="360"/>
      </w:pPr>
    </w:lvl>
    <w:lvl w:ilvl="4" w:tplc="73685037" w:tentative="1">
      <w:start w:val="1"/>
      <w:numFmt w:val="lowerLetter"/>
      <w:lvlText w:val="%5."/>
      <w:lvlJc w:val="left"/>
      <w:pPr>
        <w:ind w:left="3600" w:hanging="360"/>
      </w:pPr>
    </w:lvl>
    <w:lvl w:ilvl="5" w:tplc="73685037" w:tentative="1">
      <w:start w:val="1"/>
      <w:numFmt w:val="lowerRoman"/>
      <w:lvlText w:val="%6."/>
      <w:lvlJc w:val="right"/>
      <w:pPr>
        <w:ind w:left="4320" w:hanging="180"/>
      </w:pPr>
    </w:lvl>
    <w:lvl w:ilvl="6" w:tplc="73685037" w:tentative="1">
      <w:start w:val="1"/>
      <w:numFmt w:val="decimal"/>
      <w:lvlText w:val="%7."/>
      <w:lvlJc w:val="left"/>
      <w:pPr>
        <w:ind w:left="5040" w:hanging="360"/>
      </w:pPr>
    </w:lvl>
    <w:lvl w:ilvl="7" w:tplc="73685037" w:tentative="1">
      <w:start w:val="1"/>
      <w:numFmt w:val="lowerLetter"/>
      <w:lvlText w:val="%8."/>
      <w:lvlJc w:val="left"/>
      <w:pPr>
        <w:ind w:left="5760" w:hanging="360"/>
      </w:pPr>
    </w:lvl>
    <w:lvl w:ilvl="8" w:tplc="73685037" w:tentative="1">
      <w:start w:val="1"/>
      <w:numFmt w:val="lowerRoman"/>
      <w:lvlText w:val="%9."/>
      <w:lvlJc w:val="right"/>
      <w:pPr>
        <w:ind w:left="6480" w:hanging="180"/>
      </w:pPr>
    </w:lvl>
  </w:abstractNum>
  <w:abstractNum w:abstractNumId="76212811">
    <w:multiLevelType w:val="hybridMultilevel"/>
    <w:lvl w:ilvl="0" w:tplc="210057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212811">
    <w:abstractNumId w:val="76212811"/>
  </w:num>
  <w:num w:numId="76212812">
    <w:abstractNumId w:val="762128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0117323" Type="http://schemas.microsoft.com/office/2011/relationships/commentsExtended" Target="commentsExtended.xml"/><Relationship Id="rId993167222" Type="http://schemas.microsoft.com/office/2011/relationships/people" Target="people.xml"/><Relationship Id="rId237867ced200b8665" Type="http://schemas.openxmlformats.org/officeDocument/2006/relationships/hyperlink" Target="https://gd.eppo.int/taxon/AREAB/" TargetMode="External"/><Relationship Id="rId687067ced200b86b9" Type="http://schemas.openxmlformats.org/officeDocument/2006/relationships/hyperlink" Target="https://gd.eppo.int/taxon/AREAB/categorization" TargetMode="External"/><Relationship Id="rId737467ced200bdde9" Type="http://schemas.openxmlformats.org/officeDocument/2006/relationships/hyperlink" Target="https://www.fs.usda.gov/Internet/FSE_DOCUMENTS/stelprdb5187427.pdf" TargetMode="External"/><Relationship Id="rId332067ced200be74e" Type="http://schemas.openxmlformats.org/officeDocument/2006/relationships/hyperlink" Target="https://www.apsnet.org/edcenter/disandpath/parasiticplants/pdlessons/Pages/Dwarfmistletoes.aspx" TargetMode="External"/><Relationship Id="rId219167ced200be7fd" Type="http://schemas.openxmlformats.org/officeDocument/2006/relationships/hyperlink" Target="https://www.cabi.org/isc/datasheet/6823#1793906A-A18F-4B19-AB5E-F68B7962DA63" TargetMode="External"/><Relationship Id="rId455667ced200be912" Type="http://schemas.openxmlformats.org/officeDocument/2006/relationships/hyperlink" Target="https://gd.eppo.int" TargetMode="External"/><Relationship Id="rId458567ced200beb95" Type="http://schemas.openxmlformats.org/officeDocument/2006/relationships/hyperlink" Target="https://doi.org/10.1111/j.1365-2338.1980.tb02691.x" TargetMode="External"/><Relationship Id="rId178167ced200bb3da" Type="http://schemas.openxmlformats.org/officeDocument/2006/relationships/image" Target="media/imgrId178167ced200bb3da.jpg"/><Relationship Id="rId620167ced200bee13" Type="http://schemas.openxmlformats.org/officeDocument/2006/relationships/image" Target="media/imgrId620167ced200bee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