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caryeae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caryeae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(Kapoor)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caryeae</w:t>
            </w:r>
            <w:r>
              <w:rPr>
                <w:rFonts w:ascii="Calibri" w:hAnsi="Calibri" w:eastAsia="Calibri" w:cs="Calibri"/>
                <w:color w:val="000000"/>
                <w:position w:val="-3"/>
                <w:sz w:val="22"/>
                <w:szCs w:val="22"/>
              </w:rPr>
              <w:t xml:space="preserve"> Kapoor</w:t>
            </w:r>
            <w:hyperlink r:id="rId935267ced584a82f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12767ced584a835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is known from a limited but varied range of hosts, including several commercial crops. However, because of possible confusion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several older records need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southern part of the Indian Subcontinent. Although some sources indicate that the species is present in Sri Lanka, Drew &amp; Romig (2013) state explicitly that the earlier recorded presence in Sri Lanka is erroneous.</w:t>
      </w:r>
    </w:p>
    <w:p>
      <w:r>
        <w:drawing>
          <wp:inline distT="0" distB="0" distL="0" distR="0">
            <wp:extent cx="6120000" cy="3067200"/>
            <wp:docPr id="21276146" name="name380067ced584a971c" descr="BCTR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R_distribution_map.jpg"/>
                    <pic:cNvPicPr/>
                  </pic:nvPicPr>
                  <pic:blipFill>
                    <a:blip r:embed="rId374167ced584a971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(Goa, Karnataka, Kerala, Tamil Nadu)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length varies from 5 to 15 mm. Identification to species level is not possible based on larvae. A key for the 3rd-instar larvae is available in White &amp; Elson- Harris (1992) and is useful for identification to the genus level. The larvae of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elongate oval black spots; postpronotal lobes yellow (except anterodorsal corners fuscous); notopleura yellow; scutum black with a small area of dark brown posterolateral to lateral postsutural vittae; narrow lateral postsutural yellow vittae which are either parallel sided or narrowing slightly posteriorly to end at or just before intra-alar seta; medial postsutural yellow vitta absent; mesopleural stripe reaching midway between anterior margin of notopleuron and anterior notopleural seta dorsally; scutellum yellow with a broad black basal band; legs with femora fulvous with a large dark fuscous to black preapical spot on outer surfaces of fore femora and inner surfaces of mid and hind femora; fore tibiae fuscous, mid tibiae fulvous, hind tibiae dark fuscous; wing with cells bc and c colourless, sparse microtrichia in outer corner of cell c only; a very narrow fuscous costal band confluent with R2+3 and remaining very narrow around apex of wing; a narrow fuscous anal streak contained within cell cup; supernumerary lobe of medium development; abdominal terga III-V orange-brown with dark fuscous to black across anterior one-third to one-half of tergum III, two broad lateral longitudinal dark fuscous to black bands and a narrow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0.78:1;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840767ced584a9dff"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mention mango and guava as the main commercial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 recent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is a known pest of commercial fruit crops in the area where it is present. It can be moved in trade with infested fruit. No detailed study has been made on climatic suitability of the EPPO region for this species, and it is unclear whether it could become established in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512567ced584aa1c4"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Ramani S, David KJ, Viraktamath CA &amp; Kumar ARV (2008) Identity and distribution of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(Kapoor) (Insecta: Diptera: Tephritidae) A species under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in India. </w:t>
      </w:r>
      <w:r>
        <w:rPr>
          <w:rFonts w:ascii="Calibri" w:hAnsi="Calibri" w:eastAsia="Calibri" w:cs="Calibri"/>
          <w:i/>
          <w:iCs/>
          <w:color w:val="000000"/>
          <w:sz w:val="22"/>
          <w:szCs w:val="22"/>
        </w:rPr>
        <w:t xml:space="preserve">Biosystematica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49-57.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527167ced584aa540" w:history="1">
        <w:r>
          <w:rPr>
            <w:rFonts w:ascii="Calibri" w:hAnsi="Calibri" w:eastAsia="Calibri" w:cs="Calibri"/>
            <w:color w:val="0000CC"/>
            <w:sz w:val="22"/>
            <w:szCs w:val="22"/>
            <w:u w:val="single"/>
          </w:rPr>
          <w:t xml:space="preserve">https://www.cabi.org/isc/datasheet/8699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EPPO datasheets on pests recommended for regulation. Available online. </w:t>
      </w:r>
      <w:hyperlink r:id="rId467767ced584aa60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1864098" name="name507967ced584aa7b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1967ced584aa7b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436943">
    <w:multiLevelType w:val="hybridMultilevel"/>
    <w:lvl w:ilvl="0" w:tplc="85500458">
      <w:start w:val="1"/>
      <w:numFmt w:val="decimal"/>
      <w:lvlText w:val="%1."/>
      <w:lvlJc w:val="left"/>
      <w:pPr>
        <w:ind w:left="720" w:hanging="360"/>
      </w:pPr>
    </w:lvl>
    <w:lvl w:ilvl="1" w:tplc="85500458" w:tentative="1">
      <w:start w:val="1"/>
      <w:numFmt w:val="lowerLetter"/>
      <w:lvlText w:val="%2."/>
      <w:lvlJc w:val="left"/>
      <w:pPr>
        <w:ind w:left="1440" w:hanging="360"/>
      </w:pPr>
    </w:lvl>
    <w:lvl w:ilvl="2" w:tplc="85500458" w:tentative="1">
      <w:start w:val="1"/>
      <w:numFmt w:val="lowerRoman"/>
      <w:lvlText w:val="%3."/>
      <w:lvlJc w:val="right"/>
      <w:pPr>
        <w:ind w:left="2160" w:hanging="180"/>
      </w:pPr>
    </w:lvl>
    <w:lvl w:ilvl="3" w:tplc="85500458" w:tentative="1">
      <w:start w:val="1"/>
      <w:numFmt w:val="decimal"/>
      <w:lvlText w:val="%4."/>
      <w:lvlJc w:val="left"/>
      <w:pPr>
        <w:ind w:left="2880" w:hanging="360"/>
      </w:pPr>
    </w:lvl>
    <w:lvl w:ilvl="4" w:tplc="85500458" w:tentative="1">
      <w:start w:val="1"/>
      <w:numFmt w:val="lowerLetter"/>
      <w:lvlText w:val="%5."/>
      <w:lvlJc w:val="left"/>
      <w:pPr>
        <w:ind w:left="3600" w:hanging="360"/>
      </w:pPr>
    </w:lvl>
    <w:lvl w:ilvl="5" w:tplc="85500458" w:tentative="1">
      <w:start w:val="1"/>
      <w:numFmt w:val="lowerRoman"/>
      <w:lvlText w:val="%6."/>
      <w:lvlJc w:val="right"/>
      <w:pPr>
        <w:ind w:left="4320" w:hanging="180"/>
      </w:pPr>
    </w:lvl>
    <w:lvl w:ilvl="6" w:tplc="85500458" w:tentative="1">
      <w:start w:val="1"/>
      <w:numFmt w:val="decimal"/>
      <w:lvlText w:val="%7."/>
      <w:lvlJc w:val="left"/>
      <w:pPr>
        <w:ind w:left="5040" w:hanging="360"/>
      </w:pPr>
    </w:lvl>
    <w:lvl w:ilvl="7" w:tplc="85500458" w:tentative="1">
      <w:start w:val="1"/>
      <w:numFmt w:val="lowerLetter"/>
      <w:lvlText w:val="%8."/>
      <w:lvlJc w:val="left"/>
      <w:pPr>
        <w:ind w:left="5760" w:hanging="360"/>
      </w:pPr>
    </w:lvl>
    <w:lvl w:ilvl="8" w:tplc="85500458" w:tentative="1">
      <w:start w:val="1"/>
      <w:numFmt w:val="lowerRoman"/>
      <w:lvlText w:val="%9."/>
      <w:lvlJc w:val="right"/>
      <w:pPr>
        <w:ind w:left="6480" w:hanging="180"/>
      </w:pPr>
    </w:lvl>
  </w:abstractNum>
  <w:abstractNum w:abstractNumId="51436942">
    <w:multiLevelType w:val="hybridMultilevel"/>
    <w:lvl w:ilvl="0" w:tplc="868797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436942">
    <w:abstractNumId w:val="51436942"/>
  </w:num>
  <w:num w:numId="51436943">
    <w:abstractNumId w:val="514369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0044834" Type="http://schemas.microsoft.com/office/2011/relationships/commentsExtended" Target="commentsExtended.xml"/><Relationship Id="rId834182604" Type="http://schemas.microsoft.com/office/2011/relationships/people" Target="people.xml"/><Relationship Id="rId935267ced584a82fc" Type="http://schemas.openxmlformats.org/officeDocument/2006/relationships/hyperlink" Target="https://gd.eppo.int/taxon/BCTRCR/" TargetMode="External"/><Relationship Id="rId312767ced584a8351" Type="http://schemas.openxmlformats.org/officeDocument/2006/relationships/hyperlink" Target="https://gd.eppo.int/taxon/BCTRCR/categorization" TargetMode="External"/><Relationship Id="rId840767ced584a9dff" Type="http://schemas.openxmlformats.org/officeDocument/2006/relationships/hyperlink" Target="http://Symptoms%20Attacked%20fruit%20have%20tiny%20oviposition%20punctures,%20but%20these%20and%20other%20symptoms%20of%20damage%20are%20often%20difficult%20to%20detect%20in%20the%20early%20stages%20of%20infestation.%20Considerable%20damage%20may%20occur%20inside%20the%20fruit%20before%20symptoms%20are%20visible%20externally,%20often%20as%20networks%20of%20tunnels%20accompanied%20by%20rotting.%20Morphology%20Larva%20Fruit%20fly%20larvae%20in%20general%20have%20a%20typical%20shape,%20i.e.,%20cylindrical%20maggot-shape,%20elongate,%20anterior%20end%20narrowed%20and%20somewhat%20recurved%20ventrally,%20with%20anterior%20mouth%20hooks,%20and%20flattened%20caudal%20end.%20Their%20length%20varies%20from%205%20to%2015%20mm.%20Identification%20to%20species%20level%20is%20not%20possible%20based%20on%20larvae.%20A%20key%20for%20the%203rd-instar%20larvae%20is%20available%20in%20White%20&amp;%20Elson-%20Harris%20(1992)%20and%20is%20useful%20for%20identification%20to%20the%20genus%20level.%20The%20larvae%20of%20B.%20caryeae%20have%20not%20been%20described%20in%20detail.%20%20Adult%20(after%20diagnostic%20description%20given%20by%20Drew%20&amp;%20Romig,%202013.%20Additional%20character%20states%20of%20the%20female%20after%20Drew%20&amp;%20Hancock,%201994)%20Male%20Face%20fulvous%20with%20a%20pair%20of%20large%20elongate%20oval%20black%20spots;%20postpronotal%20lobes%20yellow%20(except%20anterodorsal%20corners%20fuscous);%20notopleura%20yellow;%20scutum%20black%20with%20a%20small%20area%20of%20dark%20brown%20posterolateral%20to%20lateral%20postsutural%20vittae;%20narrow%20lateral%20postsutural%20yellow%20vittae%20which%20are%20either%20parallel%20sided%20or%20narrowing%20slightly%20posteriorly%20to%20end%20at%20or%20just%20before%20intra-alar%20seta;%20medial%20postsutural%20yellow%20vitta%20absent;%20mesopleural%20stripe%20reaching%20midway%20between%20anterior%20margin%20of%20notopleuron%20and%20anterior%20notopleural%20seta%20dorsally;%20scutellum%20yellow%20with%20a%20broad%20black%20basal%20band;%20legs%20with%20femora%20fulvous%20with%20a%20large%20dark%20fuscous%20to%20black%20preapical%20spot%20on%20outer%20surfaces%20of%20fore%20femora%20and%20inner%20surfaces%20of%20mid%20and%20hind%20femora;%20fore%20tibiae%20fuscous,%20mid%20tibiae%20fulvous,%20hind%20tibiae%20dark%20fuscous;%20wing%20with%20cells%20bc%20and%20c%20colourless,%20sparse%20microtrichia%20in%20outer%20corner%20of%20cell%20c%20only;%20a%20very%20narrow%20fuscous%20costal%20band%20confluent%20with%20R2+3%20and%20remaining%20very%20narrow%20around%20apex%20of%20wing;%20a%20narrow%20fuscous%20anal%20streak%20contained%20within%20cell%20cup;%20supernumerary%20lobe%20of%20medium%20development;%20abdominal%20terga%20III-V%20orange-brown%20with%20dark%20fuscous%20to%20black%20across%20anterior%20one-third%20to%20one-half%20of%20tergum%20III,%20two%20broad%20lateral%20longitudinal%20dark%20fuscous%20to%20black%20bands%20and%20a%20narrow%20medial%20longitudinal%20black%20band%20over%20all%20three%20terga,%20a%20pair%20of%20oval%20orange-brown%20shining%20spots%20on%20tergum%20V;%20abdominal%20sterna%20dark%20coloured.%20%20Female%20As%20for%20male%20in%20the%20general%20body%20colour%20patterns.%20Wing,%20supernumerary%20lobe%20weak;%20pecten%20absent%20from%20abdominal%20tergum%20III.%20Ovipositor%20basal%20segment%20fuscous,%20dorsoventrally%20compressed%20and%20tapering%20posteriorly%20in%20dorsal%20view;%20ratio%20of%20length%20of%20oviscape%20to%20length%20of%20tergum%20V,%200.78:1;%20aculeus%20apex%20needle%20shaped.%20%20Remark%3A%20differentiation%20between%20this%20species%20and%20closely%20related%20species%20within%20the%20B.%20dorsalis%20species%20complex%20is%20difficult%20and%20needs%20expert%20confirmation.%20See%20ISPM%2027%20DP%2029(IPPC,%202019)%20for%20details%20on%20how%20to%20differentiate%20between%20the%20main%20species%20of%20commercial%20importance%20belonging%20to%20the%20species%20complex.%20DNA%20barcoding%20The%20molecular%20identification%20of%20B.%20caryeae%20through%20DNA%20barcoding%20(COI)%20proves%20to%20be%20problematic%20as%20this%20species%20cannot%20be%20properly%20resolved%20from%20a%20number%20of%20closely%20related%20species,%20including%20species%20from%20the%20B.%20dorsalis%20species%20complex%20(see%20ISPM%2027%20DP%2029%20(IPPC,2019).%20Additionally,%20the%20presence%20of%20unidentified%20/%20possibly%20misidentified%20reference%20sequence%20in%20BINs%20in%20which%20this%20species%20is%20represented,%20might%20also%20bias%20its%20molecular%20ID.%20Sequences%20are%20available%20in%20the%20Barcode%20of%20Life%20Data%20Systems%20(BOLD%20https%3A//www.boldsystems.org/index.php/Taxbrowser_Taxonpage?searchMenu=taxonomy&amp;query=caryeae&amp;taxon=caryeae).%20%20Detection%20and%20inspection%20methods%20Males%20are%20attracted%20to%20methyl%20eugenol.%20Both%20sexes%20can%20also%20be%20monitored%20by%20traps%20baited%20with%20protein%20based%20attractants." TargetMode="External"/><Relationship Id="rId512567ced584aa1c4" Type="http://schemas.openxmlformats.org/officeDocument/2006/relationships/hyperlink" Target="https://doi.org/10.2903/j.efsa.2020.5931" TargetMode="External"/><Relationship Id="rId527167ced584aa540" Type="http://schemas.openxmlformats.org/officeDocument/2006/relationships/hyperlink" Target="https://www.cabi.org/isc/datasheet/8699" TargetMode="External"/><Relationship Id="rId467767ced584aa60a" Type="http://schemas.openxmlformats.org/officeDocument/2006/relationships/hyperlink" Target="https://gd.eppo.int" TargetMode="External"/><Relationship Id="rId374167ced584a9716" Type="http://schemas.openxmlformats.org/officeDocument/2006/relationships/image" Target="media/imgrId374167ced584a9716.jpg"/><Relationship Id="rId321967ced584aa7bc" Type="http://schemas.openxmlformats.org/officeDocument/2006/relationships/image" Target="media/imgrId321967ced584aa7b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