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fumiferana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fumiferana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(Clemens)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Archips fumiferana</w:t>
            </w:r>
            <w:r>
              <w:rPr>
                <w:rFonts w:ascii="Calibri" w:hAnsi="Calibri" w:eastAsia="Calibri" w:cs="Calibri"/>
                <w:color w:val="000000"/>
                <w:position w:val="-3"/>
                <w:sz w:val="22"/>
                <w:szCs w:val="22"/>
              </w:rPr>
              <w:t xml:space="preserve"> (Clemens), </w:t>
            </w:r>
            <w:r>
              <w:rPr>
                <w:rFonts w:ascii="Calibri" w:hAnsi="Calibri" w:eastAsia="Calibri" w:cs="Calibri"/>
                <w:i/>
                <w:iCs/>
                <w:color w:val="000000"/>
                <w:position w:val="-3"/>
                <w:sz w:val="22"/>
                <w:szCs w:val="22"/>
              </w:rPr>
              <w:t xml:space="preserve">Cacoecia fumiferana</w:t>
            </w:r>
            <w:r>
              <w:rPr>
                <w:rFonts w:ascii="Calibri" w:hAnsi="Calibri" w:eastAsia="Calibri" w:cs="Calibri"/>
                <w:color w:val="000000"/>
                <w:position w:val="-3"/>
                <w:sz w:val="22"/>
                <w:szCs w:val="22"/>
              </w:rPr>
              <w:t xml:space="preserve"> (Clemens), </w:t>
            </w:r>
            <w:r>
              <w:rPr>
                <w:rFonts w:ascii="Calibri" w:hAnsi="Calibri" w:eastAsia="Calibri" w:cs="Calibri"/>
                <w:i/>
                <w:iCs/>
                <w:color w:val="000000"/>
                <w:position w:val="-3"/>
                <w:sz w:val="22"/>
                <w:szCs w:val="22"/>
              </w:rPr>
              <w:t xml:space="preserve">Harmologa fumiferana</w:t>
            </w:r>
            <w:r>
              <w:rPr>
                <w:rFonts w:ascii="Calibri" w:hAnsi="Calibri" w:eastAsia="Calibri" w:cs="Calibri"/>
                <w:color w:val="000000"/>
                <w:position w:val="-3"/>
                <w:sz w:val="22"/>
                <w:szCs w:val="22"/>
              </w:rPr>
              <w:t xml:space="preserve"> (Clemens), </w:t>
            </w:r>
            <w:r>
              <w:rPr>
                <w:rFonts w:ascii="Calibri" w:hAnsi="Calibri" w:eastAsia="Calibri" w:cs="Calibri"/>
                <w:i/>
                <w:iCs/>
                <w:color w:val="000000"/>
                <w:position w:val="-3"/>
                <w:sz w:val="22"/>
                <w:szCs w:val="22"/>
              </w:rPr>
              <w:t xml:space="preserve">Tortrix fumiferana</w:t>
            </w:r>
            <w:r>
              <w:rPr>
                <w:rFonts w:ascii="Calibri" w:hAnsi="Calibri" w:eastAsia="Calibri" w:cs="Calibri"/>
                <w:color w:val="000000"/>
                <w:position w:val="-3"/>
                <w:sz w:val="22"/>
                <w:szCs w:val="22"/>
              </w:rPr>
              <w:t xml:space="preserve"> Clemens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spruce budworm</w:t>
            </w:r>
            <w:hyperlink r:id="rId209767ce5db43ee7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71467ce5db43eee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CHONFU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067650" name="name855167ce5db43f788" descr="18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00.jpg"/>
                          <pic:cNvPicPr/>
                        </pic:nvPicPr>
                        <pic:blipFill>
                          <a:blip r:embed="rId280067ce5db43f786" cstate="print"/>
                          <a:stretch>
                            <a:fillRect/>
                          </a:stretch>
                        </pic:blipFill>
                        <pic:spPr>
                          <a:xfrm>
                            <a:off x="0" y="0"/>
                            <a:ext cx="2160000" cy="1281600"/>
                          </a:xfrm>
                          <a:prstGeom prst="rect">
                            <a:avLst/>
                          </a:prstGeom>
                          <a:ln w="0">
                            <a:noFill/>
                          </a:ln>
                        </pic:spPr>
                      </pic:pic>
                    </a:graphicData>
                  </a:graphic>
                </wp:inline>
              </w:drawing>
            </w:r>
            <w:hyperlink r:id="rId795467ce5db43f8b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(Clemens, 1865) is a member of a larger species complex (=spruce budworm complex) that includes eight or nine species delimited by combinations of morphological, ecological and geographic traits (Freeman, 1967; Volney &amp; Fleming, 2007; Lumley &amp; Sperling, 2011). Overlapping morphological trait variation and genetic similarities between species complicate species delimitation among members of this complex (Freeman, 1967; Lumley &amp; Sperling, 2011; Dupuis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recent examination of ecological and molecular evidence show that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a distinct species (Brunet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Dupuis, 2017;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although there is limited gene flow between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occidentalis biennis</w:t>
      </w:r>
      <w:r>
        <w:rPr>
          <w:rFonts w:ascii="Calibri" w:hAnsi="Calibri" w:eastAsia="Calibri" w:cs="Calibri"/>
          <w:color w:val="000000"/>
          <w:sz w:val="22"/>
          <w:szCs w:val="22"/>
        </w:rPr>
        <w:t xml:space="preserve"> (Blackburn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a major defoliator of coniferous trees. This pest primarily occurs on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but has also been recorded on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occasionally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Stand-level defoliation is well described on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balsamea</w:t>
      </w:r>
      <w:r>
        <w:rPr>
          <w:rFonts w:ascii="Calibri" w:hAnsi="Calibri" w:eastAsia="Calibri" w:cs="Calibri"/>
          <w:color w:val="000000"/>
          <w:sz w:val="22"/>
          <w:szCs w:val="22"/>
        </w:rPr>
        <w:t xml:space="preserve">, white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rubens</w:t>
      </w:r>
      <w:r>
        <w:rPr>
          <w:rFonts w:ascii="Calibri" w:hAnsi="Calibri" w:eastAsia="Calibri" w:cs="Calibri"/>
          <w:color w:val="000000"/>
          <w:sz w:val="22"/>
          <w:szCs w:val="22"/>
        </w:rPr>
        <w:t xml:space="preserve"> in Eastern North America and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in the West.</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primary host plants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are widely grown in European forests and plantations (e.g.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for Northern Europe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In addition, growth and development of spruce budworm on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in North American plantations was equivalent to that on white spruce (Berthiaume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highlighting the risks posed to this Norway spruce.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found throughout coniferous forests in Eastern North America and its distribution extends west through the boreal forest, and as far north as Alaska, Yukon, and the Northwest Territories. Host plant availability and seasonal temperatures determine northern and southern limits of the pest (Régnière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Gray 2008; Marshall &amp; Sinclair 2015; Butterson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Climate change is expected to alter these range limits (Régnière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Candau &amp; Fleming, 2011; Pureswaran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changing the defoliation risk in northern forests that have not historically experienced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outbreaks (Bognounou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55341504" name="name401167ce5db440ed4" descr="CHON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NFU_distribution_map.jpg"/>
                    <pic:cNvPicPr/>
                  </pic:nvPicPr>
                  <pic:blipFill>
                    <a:blip r:embed="rId750667ce5db440ed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Yukon Territory), United States of America (Alaska, Arizona, Idaho, Iowa, Maine, Michigan, Minnesota, Montana, New Hampshire, New York, North Dakota, Ohio, Oregon, Pennsylvania, Utah,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typically univoltine, with a single generation per year. Adults appear in July or August and mate soon after eclosion. Females lay egg masses on the undersides of needles on their host trees, with up to 20 eggs per mass (Nealis, 2016). Eggs hatch in 8-12 days, and the larvae forgo feeding to seek overwintering locations in bark crevices, under bark scales, lichen mats, or old staminate flower scars (Nealis and Régnière, 2016).  Larvae spin silken structures (=hibernacula) in these sites, molt, and enter diapause (Marshall and Roe, 2020). Larvae remain in diapause until late winter and then enter a period of quiescence and resume development in the spring (Han and Bauce, 1996; Marshall and Roe,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Spring temperatures cue larval emergence, and this occurs prior to budburst in its host plants (Nealis and Régnière, 2016; Régnière and Nealis, 2018). Larvae disperse to branch tips to initially mine old needles, unopened buds, or feed upon the early-opening staminate flowers in advance of host budburst. Once vegetative buds begin opening, larvae move to these new buds and begin feeding within a protective silken cover. Larvae typically have six instars and pupate in their feeding webs or within nearby branches. While one generation per year is typical for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can have a life cycle which takes two-years to complete or one year (if diapause does not occur) (Harvey 1957, 1961).</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refer also to Furniss and Carolin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low to moderate population densities, defoliation is restricted to new buds and foliage, especially in the upper crown. Partially consumed needles on the webbed branch tips turn bright reddish-brown by midsummer. At high population densities, host plants can experience severe defoliation, growth reductions and mortality, particularly over successive years (MacLean and Ostaff, 1989).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light-green eggs are oval and laid in overlapping shingles along the underside of needles. Egg masses typically contain 20 eggs (Nealis and Régnière, 2004).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1-2 mm in length, pale yellow with a dark head capsule. As they feed and moult, larvae become dark-brown with a black head and light dots along their back.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dark green and brown, and the sexes can be discriminated by their abdominal morphology (Jennings and Houseweart, 1978). Larvae will pupate in branches near their final feeding structures.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predominantly grey with mottled dark-brown markings; their wingspan is approximately 20 mm.  A rare brown female morph has also been described (Stehr, 1955).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Visual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on the underside of needles and can be difficult to detect visually. </w:t>
      </w:r>
    </w:p>
    <w:p>
      <w:pPr>
        <w:widowControl w:val="on"/>
        <w:pBdr/>
        <w:spacing w:before="220" w:after="220" w:line="240" w:lineRule="auto"/>
        <w:ind w:left="0" w:right="0"/>
        <w:jc w:val="both"/>
      </w:pPr>
      <w:r>
        <w:rPr>
          <w:rFonts w:ascii="Calibri" w:hAnsi="Calibri" w:eastAsia="Calibri" w:cs="Calibri"/>
          <w:color w:val="000000"/>
          <w:sz w:val="22"/>
          <w:szCs w:val="22"/>
        </w:rPr>
        <w:t xml:space="preserve">Second instar larvae form silken overwintering structures within crevices within branches and the trunk of host plants. While difficult to observe, this stage can be effectively extracted from foliage using a 2% sodium hydroxide wash and counted following separation from plant material with hexane flotation and filtration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Developing larvae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are found on buds and foliage of coniferous host trees, however they will vacate feeding structures on silken threads when disturbed. Larvae can be identified using available keys and morphological descriptions (Harvey and Stehr, 1967; Lindquist,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Pheromone traps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chemistry is well described for male spruce budworm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is commercially available. Pheromone trapping is an important management tool to monitor populations within North America (e.g. Carleton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Molecular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identification of specimens from all life stages can be performed using Sanger Sequencing of mitochondrial genes (Lumley and Sperling, 2011). Separation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predominantly successful, however some complexity arises where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populations are genetically very close to other members of the budworm complex (see notes on taxonomy and nomenclature). The EPPO-Q-bank database (</w:t>
      </w:r>
      <w:hyperlink r:id="rId201567ce5db44159b" w:history="1">
        <w:r>
          <w:rPr>
            <w:rFonts w:ascii="Calibri" w:hAnsi="Calibri" w:eastAsia="Calibri" w:cs="Calibri"/>
            <w:color w:val="0000CC"/>
            <w:sz w:val="22"/>
            <w:szCs w:val="22"/>
            <w:u w:val="single"/>
          </w:rPr>
          <w:t xml:space="preserve">https://qbank.eppo.int/arthropods/</w:t>
        </w:r>
      </w:hyperlink>
      <w:r>
        <w:rPr>
          <w:rFonts w:ascii="Calibri" w:hAnsi="Calibri" w:eastAsia="Calibri" w:cs="Calibri"/>
          <w:color w:val="000000"/>
          <w:sz w:val="22"/>
          <w:szCs w:val="22"/>
        </w:rPr>
        <w:t xml:space="preserve">) notes issues in separating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from related North American species. The non-European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as a group, can be reliably detected with the standard DNA barcoding region of mitochondrial DNA. Extensive molecular resources are available for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and related North American species on Genbank and the DNA Barcoding of Life database (</w:t>
      </w:r>
      <w:hyperlink r:id="rId595067ce5db441624" w:history="1">
        <w:r>
          <w:rPr>
            <w:rFonts w:ascii="Calibri" w:hAnsi="Calibri" w:eastAsia="Calibri" w:cs="Calibri"/>
            <w:color w:val="0000CC"/>
            <w:sz w:val="22"/>
            <w:szCs w:val="22"/>
            <w:u w:val="single"/>
          </w:rPr>
          <w:t xml:space="preserve">www.boldsystems.org</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Extensive dispersal occurs during population outbreaks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Adults are strong fliers and can fly 20 km (Greenbank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with mated females showing greater dispersal capacity than virgin females (Elliott and Evenden, 2009). When combined with strong winds,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can disperse over 450 km (Anderson &amp; Sturtevant, 2011). Wind dispersal also occurs in first instar larvae in late summer and second instar larvae during spring emergence, aided by their habit of ballooning on silken threads (Nealis, 2016).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international movement is most likely to occur with diapausing second instar larvae that occur on plants or cut foliage of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one of the most widely distributed forest insects in North America and is a highly destructive pest of spruce-fir forests in the USA and Canada. This species undergoes regionally synchronized population outbreaks (Boulanger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that cause widespread defoliation and tree loss. Outbreaks persist for 10 years or more and recur about every 30 to 40 years (Jardon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At the peak of an outbreak, spruce budworm repeatedly defoliates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leading to growth reduction and mortality, which negatively impacts the forest industry and forest-dependent communities. During the last major outbreak in the 1970s, spruce budworm damaged more than 50 million hectares of forest.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Spruce budworm populations have been typically managed using approaches aimed at protecting high-value stands (= foliage protection). Foliage protection can be achieved via aerial spraying of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kurstaki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Btk</w:t>
      </w:r>
      <w:r>
        <w:rPr>
          <w:rFonts w:ascii="Calibri" w:hAnsi="Calibri" w:eastAsia="Calibri" w:cs="Calibri"/>
          <w:color w:val="000000"/>
          <w:sz w:val="22"/>
          <w:szCs w:val="22"/>
        </w:rPr>
        <w:t xml:space="preserve">) and tebufenozide, which are ingested control products that target larval Lepidoptera (Fleming and Van Frankenhuyzen, 1992; Cadogan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Recently, proactive ‘early intervention’ strategies are being tested as a means of stopping spruce budworm populations from reaching epidemic levels by focusing aerial spraying on expanding population hotspots (Johns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disruption using sex pheromones has been explored extensively for this species (Rhainds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success of this tool may be limited to low-density populations at the start of an outbreak (Rhainds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the impact of disruption can be reduced by adult dispersal into the forest stands that are being treated using mating disruption (Régnière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Spruce budworm populations also have a large range of natural enemies (Fernández-Triana and Huber, 2010) which are considered to be an important source of mortality during development (Royama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Inundative releases of </w:t>
      </w:r>
      <w:r>
        <w:rPr>
          <w:rFonts w:ascii="Calibri" w:hAnsi="Calibri" w:eastAsia="Calibri" w:cs="Calibri"/>
          <w:i/>
          <w:iCs/>
          <w:color w:val="000000"/>
          <w:sz w:val="22"/>
          <w:szCs w:val="22"/>
        </w:rPr>
        <w:t xml:space="preserve">Trichogramma minutum</w:t>
      </w:r>
      <w:r>
        <w:rPr>
          <w:rFonts w:ascii="Calibri" w:hAnsi="Calibri" w:eastAsia="Calibri" w:cs="Calibri"/>
          <w:color w:val="000000"/>
          <w:sz w:val="22"/>
          <w:szCs w:val="22"/>
        </w:rPr>
        <w:t xml:space="preserve"> successfully reduce regional larval populations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relative role of natural enemies (parasitoids and diseases) and bottom-up effects of host plant and weather on population dynamics is not clear and all likely combine to generate the irruptive, cyclical population behaviour observed in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(Royama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Silvicultural methods such as thinning can increase stand resistance to spruce budworm outbreaks (Bauce and Fuentealba,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has been added to the EPPO A1 List, but is not regarded as a quarantine pest by any other regional plant protection organization. Of the North American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species, spruce budworm presents the greatest risk to European forests as it attacks a large number of conifer species and high population densities can lead to tree mortality.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Requiring that plants for planting or cut branches of hosts (including Christmas trees) originate from a pest free area is an appropriate phytosanitary measure (EPPO, 2018). Other risk management options may be relevant, as recommended for similar Lepidoptera, but whether they are appropriate and feasible for the specific host and commodity should be determined (EPPO, 2021). Such measures include growing the plants under complete physical isolation (EPPO, 2016, 2021, 2022). Measures should be combined with requirements to avoid infestation of the consignments during storage and transport (EPPO, 2022). It is noted that plants for planting of some host species from North America are currently prohibited in the EU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DC, Dorais L &amp; Kettela EG (1984) Survey and detection. In </w:t>
      </w:r>
      <w:r>
        <w:rPr>
          <w:rFonts w:ascii="Calibri" w:hAnsi="Calibri" w:eastAsia="Calibri" w:cs="Calibri"/>
          <w:i/>
          <w:iCs/>
          <w:color w:val="000000"/>
          <w:sz w:val="22"/>
          <w:szCs w:val="22"/>
        </w:rPr>
        <w:t xml:space="preserve">Spruce budworm handbook: managing the spruce budworm in eastern North America</w:t>
      </w:r>
      <w:r>
        <w:rPr>
          <w:rFonts w:ascii="Calibri" w:hAnsi="Calibri" w:eastAsia="Calibri" w:cs="Calibri"/>
          <w:color w:val="000000"/>
          <w:sz w:val="22"/>
          <w:szCs w:val="22"/>
        </w:rPr>
        <w:t xml:space="preserve">. Agricultural Handbook 620, 21-36.</w:t>
      </w:r>
    </w:p>
    <w:p>
      <w:pPr>
        <w:widowControl w:val="on"/>
        <w:pBdr/>
        <w:spacing w:before="220" w:after="220" w:line="240" w:lineRule="auto"/>
        <w:ind w:left="0" w:right="0"/>
        <w:jc w:val="left"/>
      </w:pPr>
      <w:r>
        <w:rPr>
          <w:rFonts w:ascii="Calibri" w:hAnsi="Calibri" w:eastAsia="Calibri" w:cs="Calibri"/>
          <w:color w:val="000000"/>
          <w:sz w:val="22"/>
          <w:szCs w:val="22"/>
        </w:rPr>
        <w:t xml:space="preserve">Bauce É &amp; Fuentealba A (2013) Interactions between stand thinning, site quality and host tree species on spruce budworm biological performance and host tree resistance over a 6 year period after thinning.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304</w:t>
      </w:r>
      <w:r>
        <w:rPr>
          <w:rFonts w:ascii="Calibri" w:hAnsi="Calibri" w:eastAsia="Calibri" w:cs="Calibri"/>
          <w:color w:val="000000"/>
          <w:sz w:val="22"/>
          <w:szCs w:val="22"/>
        </w:rPr>
        <w:t xml:space="preserve">, 212-223. </w:t>
      </w:r>
      <w:hyperlink r:id="rId701867ce5db441eab" w:history="1">
        <w:r>
          <w:rPr>
            <w:rFonts w:ascii="Calibri" w:hAnsi="Calibri" w:eastAsia="Calibri" w:cs="Calibri"/>
            <w:color w:val="0000CC"/>
            <w:sz w:val="22"/>
            <w:szCs w:val="22"/>
            <w:u w:val="single"/>
          </w:rPr>
          <w:t xml:space="preserve">https://doi.org/10.1016/j.foreco.2013.05.008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Berthiaume R, Hebert C, Dupont A, Charest M &amp; Bauce É (2020) The spruce budworm, a potential threat for Norway spruce in eastern Canada? </w:t>
      </w:r>
      <w:r>
        <w:rPr>
          <w:rFonts w:ascii="Calibri" w:hAnsi="Calibri" w:eastAsia="Calibri" w:cs="Calibri"/>
          <w:i/>
          <w:iCs/>
          <w:color w:val="000000"/>
          <w:sz w:val="22"/>
          <w:szCs w:val="22"/>
        </w:rPr>
        <w:t xml:space="preserve">The Forestry Chronicle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(1), 71-76.</w:t>
      </w:r>
    </w:p>
    <w:p>
      <w:pPr>
        <w:widowControl w:val="on"/>
        <w:pBdr/>
        <w:spacing w:before="220" w:after="220" w:line="240" w:lineRule="auto"/>
        <w:ind w:left="0" w:right="0"/>
        <w:jc w:val="left"/>
      </w:pPr>
      <w:r>
        <w:rPr>
          <w:rFonts w:ascii="Calibri" w:hAnsi="Calibri" w:eastAsia="Calibri" w:cs="Calibri"/>
          <w:color w:val="000000"/>
          <w:sz w:val="22"/>
          <w:szCs w:val="22"/>
        </w:rPr>
        <w:t xml:space="preserve">Blackburn GS, Brunet BMT, Muirhead K, Cusson M, Beliveau C, Levesque RC, Lumley LM &amp; Sperling FAH (2017) Distinct sources of gene flow produce contrasting population genetic dynamics at different range boundaries of a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budworm.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6666-6684. </w:t>
      </w:r>
      <w:hyperlink r:id="rId716467ce5db441faa" w:history="1">
        <w:r>
          <w:rPr>
            <w:rFonts w:ascii="Calibri" w:hAnsi="Calibri" w:eastAsia="Calibri" w:cs="Calibri"/>
            <w:color w:val="0000CC"/>
            <w:sz w:val="22"/>
            <w:szCs w:val="22"/>
            <w:u w:val="single"/>
          </w:rPr>
          <w:t xml:space="preserve">https://doi.org/10.1111/mec.14386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Bognounou F, De Grandpré L, Pureswaran DS &amp; Kneeshaw D (2017) Temporal variation in plant neighborhood effects on the defoliation of primary and secondary hosts by an insect pest.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8. </w:t>
      </w:r>
      <w:hyperlink r:id="rId322867ce5db442025" w:history="1">
        <w:r>
          <w:rPr>
            <w:rFonts w:ascii="Calibri" w:hAnsi="Calibri" w:eastAsia="Calibri" w:cs="Calibri"/>
            <w:color w:val="0000CC"/>
            <w:sz w:val="22"/>
            <w:szCs w:val="22"/>
            <w:u w:val="single"/>
          </w:rPr>
          <w:t xml:space="preserve">https://doi.org/10.1002/ecs2.1759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JW, Robinson G &amp; Powell JA (2008) Food plant database of the leafrollers of the world (Lepidoptera: Tortricidae) (Version 1.0). </w:t>
      </w:r>
      <w:hyperlink r:id="rId979767ce5db442059" w:history="1"/>
      <w:hyperlink r:id="rId169967ce5db442060" w:history="1">
        <w:r>
          <w:rPr>
            <w:rFonts w:ascii="Calibri" w:hAnsi="Calibri" w:eastAsia="Calibri" w:cs="Calibri"/>
            <w:color w:val="0000CC"/>
            <w:sz w:val="22"/>
            <w:szCs w:val="22"/>
            <w:u w:val="single"/>
          </w:rPr>
          <w:t xml:space="preserve">http://www.tortricidae.com/foodplants.asp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Brunet BMT, Blackburn GS, Muirhead K, Lumley LM, Boyle B, Lévesque RC, Cusson M &amp; Sperling FAH (2016) Two's company, three's a crowd: New insights on spruce budworm species boundaries using genotyping-by-sequencing in an integrative species assessment (Lepidoptera: Tortricidae).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317-328. </w:t>
      </w:r>
      <w:hyperlink r:id="rId891867ce5db442106" w:history="1">
        <w:r>
          <w:rPr>
            <w:rFonts w:ascii="Calibri" w:hAnsi="Calibri" w:eastAsia="Calibri" w:cs="Calibri"/>
            <w:color w:val="0000CC"/>
            <w:sz w:val="22"/>
            <w:szCs w:val="22"/>
            <w:u w:val="single"/>
          </w:rPr>
          <w:t xml:space="preserve">https://doi.org/10.1111/syen.12211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Butterson S, Roe AD &amp; Marshall KE (2021) Plasticity of cold hardiness in the eastern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Comparative Biochemistry and Physiology Part A: Molecular &amp; Integrative Physiology </w:t>
      </w:r>
      <w:r>
        <w:rPr>
          <w:rFonts w:ascii="Calibri" w:hAnsi="Calibri" w:eastAsia="Calibri" w:cs="Calibri"/>
          <w:b/>
          <w:bCs/>
          <w:color w:val="000000"/>
          <w:sz w:val="22"/>
          <w:szCs w:val="22"/>
        </w:rPr>
        <w:t xml:space="preserve">259</w:t>
      </w:r>
      <w:r>
        <w:rPr>
          <w:rFonts w:ascii="Calibri" w:hAnsi="Calibri" w:eastAsia="Calibri" w:cs="Calibri"/>
          <w:color w:val="000000"/>
          <w:sz w:val="22"/>
          <w:szCs w:val="22"/>
        </w:rPr>
        <w:t xml:space="preserve">, 110998. </w:t>
      </w:r>
      <w:hyperlink r:id="rId722967ce5db4421a1" w:history="1">
        <w:r>
          <w:rPr>
            <w:rFonts w:ascii="Calibri" w:hAnsi="Calibri" w:eastAsia="Calibri" w:cs="Calibri"/>
            <w:color w:val="0000CC"/>
            <w:sz w:val="22"/>
            <w:szCs w:val="22"/>
            <w:u w:val="single"/>
          </w:rPr>
          <w:t xml:space="preserve">https://doi.org/10.1016/j.cbpa.2021.110998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Cadogan BL, Thompson D, Retnakaran A, Scharbach RD, Robinson A &amp; Staznik B (1998) Deposition of aerially applied tebufenozide (RH5992) on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and its control of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80-90. </w:t>
      </w:r>
    </w:p>
    <w:p>
      <w:pPr>
        <w:widowControl w:val="on"/>
        <w:pBdr/>
        <w:spacing w:before="220" w:after="220" w:line="240" w:lineRule="auto"/>
        <w:ind w:left="0" w:right="0"/>
        <w:jc w:val="left"/>
      </w:pPr>
      <w:r>
        <w:rPr>
          <w:rFonts w:ascii="Calibri" w:hAnsi="Calibri" w:eastAsia="Calibri" w:cs="Calibri"/>
          <w:color w:val="000000"/>
          <w:sz w:val="22"/>
          <w:szCs w:val="22"/>
        </w:rPr>
        <w:t xml:space="preserve">Carleton RD, Owens E, Blaquière H, Bourassa S, Bowden JJ, Candau J-N, DeMerchant I, Edwards S, Heustis A, James PMA, Kanoti AM, MacQuarrie CJK, Martel V, Moise ERD, Pureswaran DS, Shanks E, Johns RC &amp; Kerr J (2020) Tracking insect outbreaks: a case study of community-assisted moth monitoring using sex pheromone traps.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Facets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91-104. </w:t>
      </w:r>
      <w:hyperlink r:id="rId745367ce5db4422ba" w:history="1">
        <w:r>
          <w:rPr>
            <w:rFonts w:ascii="Calibri" w:hAnsi="Calibri" w:eastAsia="Calibri" w:cs="Calibri"/>
            <w:color w:val="0000CC"/>
            <w:sz w:val="22"/>
            <w:szCs w:val="22"/>
            <w:u w:val="single"/>
          </w:rPr>
          <w:t xml:space="preserve">https://doi.org/10.1139/facets-2019-0029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Candau J-N &amp; Fleming RA (2011) Forecasting the response of spruce budworm defoliation to climate change in Ontario.</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1948-1960. </w:t>
      </w:r>
      <w:hyperlink r:id="rId974267ce5db44233f" w:history="1">
        <w:r>
          <w:rPr>
            <w:rFonts w:ascii="Calibri" w:hAnsi="Calibri" w:eastAsia="Calibri" w:cs="Calibri"/>
            <w:color w:val="0000CC"/>
            <w:sz w:val="22"/>
            <w:szCs w:val="22"/>
            <w:u w:val="single"/>
          </w:rPr>
          <w:t xml:space="preserve">https://doi.org/10.1139/x11-134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CIE (1971) </w:t>
      </w:r>
      <w:r>
        <w:rPr>
          <w:rFonts w:ascii="Calibri" w:hAnsi="Calibri" w:eastAsia="Calibri" w:cs="Calibri"/>
          <w:i/>
          <w:iCs/>
          <w:color w:val="000000"/>
          <w:sz w:val="22"/>
          <w:szCs w:val="22"/>
        </w:rPr>
        <w:t xml:space="preserve">Distribution Maps of Pests, Series A</w:t>
      </w:r>
      <w:r>
        <w:rPr>
          <w:rFonts w:ascii="Calibri" w:hAnsi="Calibri" w:eastAsia="Calibri" w:cs="Calibri"/>
          <w:color w:val="000000"/>
          <w:sz w:val="22"/>
          <w:szCs w:val="22"/>
        </w:rPr>
        <w:t xml:space="preserve"> No. 283.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JR, Brunet BMT, Bird HM, Lumley LM, Fagua G, Boyle B, Levesque R, Cusson M, Powell JA &amp; Sperling FAH (2017) Genome-wide SNPs resolve phylogenetic relationships in the North American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complex.</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158-168. </w:t>
      </w:r>
      <w:hyperlink r:id="rId627067ce5db442431" w:history="1">
        <w:r>
          <w:rPr>
            <w:rFonts w:ascii="Calibri" w:hAnsi="Calibri" w:eastAsia="Calibri" w:cs="Calibri"/>
            <w:color w:val="0000CC"/>
            <w:sz w:val="22"/>
            <w:szCs w:val="22"/>
            <w:u w:val="single"/>
          </w:rPr>
          <w:t xml:space="preserve">https://doi.org/10.1016/j.ympev.2017.04.001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PM 8/2 (3) Coniferae.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1082. Pest risk analysis for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EPPO, Paris. Available at </w:t>
      </w:r>
      <w:hyperlink r:id="rId931267ce5db442541" w:history="1">
        <w:r>
          <w:rPr>
            <w:rFonts w:ascii="Calibri" w:hAnsi="Calibri" w:eastAsia="Calibri" w:cs="Calibri"/>
            <w:color w:val="0000CC"/>
            <w:sz w:val="22"/>
            <w:szCs w:val="22"/>
            <w:u w:val="single"/>
          </w:rPr>
          <w:t xml:space="preserve">https://gd.eppo.int/taxon/HEMELE/documents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PM 8/13(1)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(1), 100-110.</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143067ce5db4425e8"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Fleming RA &amp; Van Frankenhuyzen K (1992) Forecasting the efficacy of operational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Berliner applications against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Clemens (Lepidoptera: Tortricidae), using dose ingestion data: initial models.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1101-1113.</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(1967) On coniferophagous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(Lepidoptera: Tortricidae) in North America: I. Some new forms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allied to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449-455. </w:t>
      </w:r>
      <w:hyperlink r:id="rId359267ce5db442767" w:history="1">
        <w:r>
          <w:rPr>
            <w:rFonts w:ascii="Calibri" w:hAnsi="Calibri" w:eastAsia="Calibri" w:cs="Calibri"/>
            <w:color w:val="0000CC"/>
            <w:sz w:val="22"/>
            <w:szCs w:val="22"/>
            <w:u w:val="single"/>
          </w:rPr>
          <w:t xml:space="preserve">https://doi.org/10.4039/Ent99449-5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Furniss RL &amp; Carolin VM (2002)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pp. 168-173. Miscellaneous Publication No. 1339.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Gray DR (2008) The relationship between climate and outbreak characteristics of the spruce budworm in eastern Canada.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Climatic Change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361-383. </w:t>
      </w:r>
      <w:hyperlink r:id="rId659667ce5db44282b" w:history="1">
        <w:r>
          <w:rPr>
            <w:rFonts w:ascii="Calibri" w:hAnsi="Calibri" w:eastAsia="Calibri" w:cs="Calibri"/>
            <w:color w:val="0000CC"/>
            <w:sz w:val="22"/>
            <w:szCs w:val="22"/>
            <w:u w:val="single"/>
          </w:rPr>
          <w:t xml:space="preserve">https://doi.org/10.1007/s10584-007-9317-5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 E-N &amp; Bauce E (1996) Diapause development of spruce budworm larvae,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 (Lepidoptera: Tortricidae), at temperatures favouring post-diapause development.</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Harvey GT (1957) The occurrence and nature of diapause-free development in the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 (Lepidoptera: Tortricidae).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549-572.</w:t>
      </w:r>
    </w:p>
    <w:p>
      <w:pPr>
        <w:widowControl w:val="on"/>
        <w:pBdr/>
        <w:spacing w:before="220" w:after="220" w:line="240" w:lineRule="auto"/>
        <w:ind w:left="0" w:right="0"/>
        <w:jc w:val="left"/>
      </w:pPr>
      <w:r>
        <w:rPr>
          <w:rFonts w:ascii="Calibri" w:hAnsi="Calibri" w:eastAsia="Calibri" w:cs="Calibri"/>
          <w:color w:val="000000"/>
          <w:sz w:val="22"/>
          <w:szCs w:val="22"/>
        </w:rPr>
        <w:t xml:space="preserve">Harvey GT (1961) Second diapause in spruce budworm from eastern Canada.</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594-602. </w:t>
      </w:r>
      <w:hyperlink r:id="rId748467ce5db4429cd" w:history="1">
        <w:r>
          <w:rPr>
            <w:rFonts w:ascii="Calibri" w:hAnsi="Calibri" w:eastAsia="Calibri" w:cs="Calibri"/>
            <w:color w:val="0000CC"/>
            <w:sz w:val="22"/>
            <w:szCs w:val="22"/>
            <w:u w:val="single"/>
          </w:rPr>
          <w:t xml:space="preserve">https://doi.org/10.4039/Ent93594-7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Harvey GT &amp; Stehr G (1967) On coniferophagous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(Lepidoptera: Tortricidae) in North America III. Some characters of immature forms helpful in the identification of species.</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464-481.</w:t>
      </w:r>
    </w:p>
    <w:p>
      <w:pPr>
        <w:widowControl w:val="on"/>
        <w:pBdr/>
        <w:spacing w:before="220" w:after="220" w:line="240" w:lineRule="auto"/>
        <w:ind w:left="0" w:right="0"/>
        <w:jc w:val="left"/>
      </w:pPr>
      <w:r>
        <w:rPr>
          <w:rFonts w:ascii="Calibri" w:hAnsi="Calibri" w:eastAsia="Calibri" w:cs="Calibri"/>
          <w:color w:val="000000"/>
          <w:sz w:val="22"/>
          <w:szCs w:val="22"/>
        </w:rPr>
        <w:t xml:space="preserve">Jennings DT &amp; Houseweart MW (1978) Sexing spruce budworm pupae. In </w:t>
      </w:r>
      <w:r>
        <w:rPr>
          <w:rFonts w:ascii="Calibri" w:hAnsi="Calibri" w:eastAsia="Calibri" w:cs="Calibri"/>
          <w:i/>
          <w:iCs/>
          <w:color w:val="000000"/>
          <w:sz w:val="22"/>
          <w:szCs w:val="22"/>
        </w:rPr>
        <w:t xml:space="preserve">Research Note</w:t>
      </w:r>
      <w:r>
        <w:rPr>
          <w:rFonts w:ascii="Calibri" w:hAnsi="Calibri" w:eastAsia="Calibri" w:cs="Calibri"/>
          <w:color w:val="000000"/>
          <w:sz w:val="22"/>
          <w:szCs w:val="22"/>
        </w:rPr>
        <w:t xml:space="preserve">, NE-255, pp. 1-2. U.S. Department of Agriculture, Forest Service, Northeastern Forest Experiment Station, Broomall, PA.</w:t>
      </w:r>
    </w:p>
    <w:p>
      <w:pPr>
        <w:widowControl w:val="on"/>
        <w:pBdr/>
        <w:spacing w:before="220" w:after="220" w:line="240" w:lineRule="auto"/>
        <w:ind w:left="0" w:right="0"/>
        <w:jc w:val="left"/>
      </w:pPr>
      <w:r>
        <w:rPr>
          <w:rFonts w:ascii="Calibri" w:hAnsi="Calibri" w:eastAsia="Calibri" w:cs="Calibri"/>
          <w:color w:val="000000"/>
          <w:sz w:val="22"/>
          <w:szCs w:val="22"/>
        </w:rPr>
        <w:t xml:space="preserve">Johns RC, Bowden JJ, Carleton DR, Cooke BJ, Edwards S, Emilson EJS, James PMA, Kneeshaw D, MacLean DA, Martel V, Moise ERD, Mott GD, Norfolk CJ, Owens E, Pureswaran DS, Quiring DT, Régnière J, Richard B &amp; Stastny M (2019) A conceptual framework for the spruce budworm early intervention strategy: can outbreaks be stopped?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w:t>
      </w:r>
      <w:hyperlink r:id="rId360267ce5db442b1f" w:history="1">
        <w:r>
          <w:rPr>
            <w:rFonts w:ascii="Calibri" w:hAnsi="Calibri" w:eastAsia="Calibri" w:cs="Calibri"/>
            <w:color w:val="0000CC"/>
            <w:sz w:val="22"/>
            <w:szCs w:val="22"/>
            <w:u w:val="single"/>
          </w:rPr>
          <w:t xml:space="preserve">https://doi.org/10.3390/f10100910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Lindquist OH (1982) Keys to lepidopterous larvae associated with the spruce budworm in northeastern North America. Environment Canada, Canadian Forestry Service, Great Lakes Forestry Centre, Sault Ste. Marie, ON.</w:t>
      </w:r>
    </w:p>
    <w:p>
      <w:pPr>
        <w:widowControl w:val="on"/>
        <w:pBdr/>
        <w:spacing w:before="220" w:after="220" w:line="240" w:lineRule="auto"/>
        <w:ind w:left="0" w:right="0"/>
        <w:jc w:val="left"/>
      </w:pPr>
      <w:r>
        <w:rPr>
          <w:rFonts w:ascii="Calibri" w:hAnsi="Calibri" w:eastAsia="Calibri" w:cs="Calibri"/>
          <w:color w:val="000000"/>
          <w:sz w:val="22"/>
          <w:szCs w:val="22"/>
        </w:rPr>
        <w:t xml:space="preserve">Lumley LM &amp; Sperling FAH (2011) Utility of microsatellites and mitochondrial DNA for species delimitation in the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complex (Lepidoptera: Tortricidae).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232-243. </w:t>
      </w:r>
      <w:hyperlink r:id="rId329467ce5db442be1" w:history="1">
        <w:r>
          <w:rPr>
            <w:rFonts w:ascii="Calibri" w:hAnsi="Calibri" w:eastAsia="Calibri" w:cs="Calibri"/>
            <w:color w:val="0000CC"/>
            <w:sz w:val="22"/>
            <w:szCs w:val="22"/>
            <w:u w:val="single"/>
          </w:rPr>
          <w:t xml:space="preserve">https://doi.org/10.1016/j.ympev.2010.11.023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MacLean DA &amp; Ostaff DP (1989) Patterns of balsam fir mortality caused by an uncontrolled spruce budworm outbreak.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1087-1095.</w:t>
      </w:r>
    </w:p>
    <w:p>
      <w:pPr>
        <w:widowControl w:val="on"/>
        <w:pBdr/>
        <w:spacing w:before="220" w:after="220" w:line="240" w:lineRule="auto"/>
        <w:ind w:left="0" w:right="0"/>
        <w:jc w:val="left"/>
      </w:pPr>
      <w:r>
        <w:rPr>
          <w:rFonts w:ascii="Calibri" w:hAnsi="Calibri" w:eastAsia="Calibri" w:cs="Calibri"/>
          <w:color w:val="000000"/>
          <w:sz w:val="22"/>
          <w:szCs w:val="22"/>
        </w:rPr>
        <w:t xml:space="preserve">Marshall KE &amp; Roe AD (2021) Surviving in a frozen forest: the physiology of eastern spruce budworm overwintering.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174-182. </w:t>
      </w:r>
      <w:hyperlink r:id="rId239467ce5db442cc1" w:history="1">
        <w:r>
          <w:rPr>
            <w:rFonts w:ascii="Calibri" w:hAnsi="Calibri" w:eastAsia="Calibri" w:cs="Calibri"/>
            <w:color w:val="0000CC"/>
            <w:sz w:val="22"/>
            <w:szCs w:val="22"/>
            <w:u w:val="single"/>
          </w:rPr>
          <w:t xml:space="preserve">https://doi.org/10.1152/physiol.00037.2020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Marshall KE &amp; Sinclair BJ (2015) The relative importance of number, duration and intensity of cold stress events in determining survival and energetics of an overwintering insect.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Functional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357-366. </w:t>
      </w:r>
      <w:hyperlink r:id="rId449967ce5db442d45" w:history="1">
        <w:r>
          <w:rPr>
            <w:rFonts w:ascii="Calibri" w:hAnsi="Calibri" w:eastAsia="Calibri" w:cs="Calibri"/>
            <w:color w:val="0000CC"/>
            <w:sz w:val="22"/>
            <w:szCs w:val="22"/>
            <w:u w:val="single"/>
          </w:rPr>
          <w:t xml:space="preserve">https://doi.org/10.1111/1365-2435.12328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Nealis VG (2016) Comparative ecology of conifer-feeding spruce budworms (Lepidoptera: Tortricidae).</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1-25. </w:t>
      </w:r>
      <w:hyperlink r:id="rId713167ce5db442dc6" w:history="1">
        <w:r>
          <w:rPr>
            <w:rFonts w:ascii="Calibri" w:hAnsi="Calibri" w:eastAsia="Calibri" w:cs="Calibri"/>
            <w:color w:val="0000CC"/>
            <w:sz w:val="22"/>
            <w:szCs w:val="22"/>
            <w:u w:val="single"/>
          </w:rPr>
          <w:t xml:space="preserve">https://doi.org/10.4039/tce.2015.15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Nealis VG &amp; Régnière J (2004) Fecundity and recruitment of eggs during outbreaks of the spruce budworm.</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591-604. </w:t>
      </w:r>
      <w:hyperlink r:id="rId171167ce5db442e49" w:history="1">
        <w:r>
          <w:rPr>
            <w:rFonts w:ascii="Calibri" w:hAnsi="Calibri" w:eastAsia="Calibri" w:cs="Calibri"/>
            <w:color w:val="0000CC"/>
            <w:sz w:val="22"/>
            <w:szCs w:val="22"/>
            <w:u w:val="single"/>
          </w:rPr>
          <w:t xml:space="preserve">https://doi.org/10.4039/n03-089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Nealis VG &amp; Régnière J (2016) Why western spruce budworms travel so far for the winter.</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633-641. </w:t>
      </w:r>
      <w:hyperlink r:id="rId873067ce5db443154" w:history="1">
        <w:r>
          <w:rPr>
            <w:rFonts w:ascii="Calibri" w:hAnsi="Calibri" w:eastAsia="Calibri" w:cs="Calibri"/>
            <w:color w:val="0000CC"/>
            <w:sz w:val="22"/>
            <w:szCs w:val="22"/>
            <w:u w:val="single"/>
          </w:rPr>
          <w:t xml:space="preserve">https://doi.org/10.1111/een.12336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Nelson TD, MacDonald ZG &amp; Sperling FAH (2022) Moths passing in the night: phenological and genomic divergences within a forest pest complex.</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166-180. </w:t>
      </w:r>
      <w:hyperlink r:id="rId832467ce5db4431ea" w:history="1">
        <w:r>
          <w:rPr>
            <w:rFonts w:ascii="Calibri" w:hAnsi="Calibri" w:eastAsia="Calibri" w:cs="Calibri"/>
            <w:color w:val="0000CC"/>
            <w:sz w:val="22"/>
            <w:szCs w:val="22"/>
            <w:u w:val="single"/>
          </w:rPr>
          <w:t xml:space="preserve">https://doi.org/10.1111/eva.13338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Pureswaran DS, De Grandpre L, Pare D, Taylor A, Barrette M, Morin H, Régnière J &amp; Kneeshaw D (2015) Climate-induced changes in host tree–insect phenology may drive ecological state-shift in boreal forests.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1480-1491.</w:t>
      </w:r>
    </w:p>
    <w:p>
      <w:pPr>
        <w:widowControl w:val="on"/>
        <w:pBdr/>
        <w:spacing w:before="220" w:after="220" w:line="240" w:lineRule="auto"/>
        <w:ind w:left="0" w:right="0"/>
        <w:jc w:val="left"/>
      </w:pPr>
      <w:r>
        <w:rPr>
          <w:rFonts w:ascii="Calibri" w:hAnsi="Calibri" w:eastAsia="Calibri" w:cs="Calibri"/>
          <w:color w:val="000000"/>
          <w:sz w:val="22"/>
          <w:szCs w:val="22"/>
        </w:rPr>
        <w:t xml:space="preserve">Régnière J, St-Amant R &amp; Duval P (2012) Predicting insect distributions under climate change from physiological responses: spruce budworm as an example.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1571-1586. </w:t>
      </w:r>
      <w:hyperlink r:id="rId406067ce5db44341a" w:history="1">
        <w:r>
          <w:rPr>
            <w:rFonts w:ascii="Calibri" w:hAnsi="Calibri" w:eastAsia="Calibri" w:cs="Calibri"/>
            <w:color w:val="0000CC"/>
            <w:sz w:val="22"/>
            <w:szCs w:val="22"/>
            <w:u w:val="single"/>
          </w:rPr>
          <w:t xml:space="preserve">https://doi.org/10.1007/s10530-010-9918-1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Régnière J, Delisle J, Dupont A &amp; Trudel R (2019) The impact of moth migration on apparent fecundity overwhelms mating disruption as a method to manage spruce budworm populations.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775. </w:t>
      </w:r>
      <w:hyperlink r:id="rId224167ce5db443491" w:history="1">
        <w:r>
          <w:rPr>
            <w:rFonts w:ascii="Calibri" w:hAnsi="Calibri" w:eastAsia="Calibri" w:cs="Calibri"/>
            <w:color w:val="0000CC"/>
            <w:sz w:val="22"/>
            <w:szCs w:val="22"/>
            <w:u w:val="single"/>
          </w:rPr>
          <w:t xml:space="preserve">https://doi.org/10.3390/f10090775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Régnière J &amp; Nealis VG (2018) Two sides of a coin: host-plant synchrony fitness trade-offs in the population dynamics of the western spruce budworm.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117–126. </w:t>
      </w:r>
      <w:hyperlink r:id="rId718867ce5db443515" w:history="1">
        <w:r>
          <w:rPr>
            <w:rFonts w:ascii="Calibri" w:hAnsi="Calibri" w:eastAsia="Calibri" w:cs="Calibri"/>
            <w:color w:val="0000CC"/>
            <w:sz w:val="22"/>
            <w:szCs w:val="22"/>
            <w:u w:val="single"/>
          </w:rPr>
          <w:t xml:space="preserve">https://doi.org/10.1111/1744-7917.12407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Royama T, Eveleigh ES, Morin JRB, Pollock SJ, McCarthy PC, McDougall GA &amp; Lucarotti CJ (2017) Mechanisms underlying spruce budworm outbreak processes as elucidated by a 14-year study in New Brunswick, Canada.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Ecological Monographs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600-631. </w:t>
      </w:r>
      <w:hyperlink r:id="rId869567ce5db44359b" w:history="1">
        <w:r>
          <w:rPr>
            <w:rFonts w:ascii="Calibri" w:hAnsi="Calibri" w:eastAsia="Calibri" w:cs="Calibri"/>
            <w:color w:val="0000CC"/>
            <w:sz w:val="22"/>
            <w:szCs w:val="22"/>
            <w:u w:val="single"/>
          </w:rPr>
          <w:t xml:space="preserve">https://doi.org/10.1002/ecm.1270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Silk PJ, Tan SH, Wiesner CJ, Ross RJ &amp; Lonergan GC (1980) Sex pheromone chemistry of the eastern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640–644. </w:t>
      </w:r>
      <w:hyperlink r:id="rId904267ce5db44362b" w:history="1">
        <w:r>
          <w:rPr>
            <w:rFonts w:ascii="Calibri" w:hAnsi="Calibri" w:eastAsia="Calibri" w:cs="Calibri"/>
            <w:color w:val="0000CC"/>
            <w:sz w:val="22"/>
            <w:szCs w:val="22"/>
            <w:u w:val="single"/>
          </w:rPr>
          <w:t xml:space="preserve">https://doi.org/10.1093/ee/9.5.640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Wallace DR, Howse G &amp; Meating J (1990) Suppression of spruce budworm populations by </w:t>
      </w:r>
      <w:r>
        <w:rPr>
          <w:rFonts w:ascii="Calibri" w:hAnsi="Calibri" w:eastAsia="Calibri" w:cs="Calibri"/>
          <w:i/>
          <w:iCs/>
          <w:color w:val="000000"/>
          <w:sz w:val="22"/>
          <w:szCs w:val="22"/>
        </w:rPr>
        <w:t xml:space="preserve">Trichogramma minutum</w:t>
      </w:r>
      <w:r>
        <w:rPr>
          <w:rFonts w:ascii="Calibri" w:hAnsi="Calibri" w:eastAsia="Calibri" w:cs="Calibri"/>
          <w:color w:val="000000"/>
          <w:sz w:val="22"/>
          <w:szCs w:val="22"/>
        </w:rPr>
        <w:t xml:space="preserve"> Riley, 1982-1986.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56-81.</w:t>
      </w:r>
    </w:p>
    <w:p>
      <w:pPr>
        <w:widowControl w:val="on"/>
        <w:pBdr/>
        <w:spacing w:before="220" w:after="220" w:line="240" w:lineRule="auto"/>
        <w:ind w:left="0" w:right="0"/>
        <w:jc w:val="left"/>
      </w:pPr>
      <w:r>
        <w:rPr>
          <w:rFonts w:ascii="Calibri" w:hAnsi="Calibri" w:eastAsia="Calibri" w:cs="Calibri"/>
          <w:color w:val="000000"/>
          <w:sz w:val="22"/>
          <w:szCs w:val="22"/>
        </w:rPr>
        <w:t xml:space="preserve">Stehr, G (1955) Brown female – a sex-linked and sex-limited character in the spruce budworm. </w:t>
      </w:r>
      <w:r>
        <w:rPr>
          <w:rFonts w:ascii="Calibri" w:hAnsi="Calibri" w:eastAsia="Calibri" w:cs="Calibri"/>
          <w:i/>
          <w:iCs/>
          <w:color w:val="000000"/>
          <w:sz w:val="22"/>
          <w:szCs w:val="22"/>
        </w:rPr>
        <w:t xml:space="preserve">Journal of Heredity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Volney WJA &amp; Fleming RA (2007) Spruce budworm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spp.) biotype reactions to forest and climate characteristics.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Global Change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1630-1643. </w:t>
      </w:r>
      <w:hyperlink r:id="rId705867ce5db4437ac" w:history="1">
        <w:r>
          <w:rPr>
            <w:rFonts w:ascii="Calibri" w:hAnsi="Calibri" w:eastAsia="Calibri" w:cs="Calibri"/>
            <w:color w:val="0000CC"/>
            <w:sz w:val="22"/>
            <w:szCs w:val="22"/>
            <w:u w:val="single"/>
          </w:rPr>
          <w:t xml:space="preserve">https://doi.org/10.1111/j.1365-2486.2007.01402.x</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w:t>
      </w:r>
      <w:hyperlink r:id="rId870767ce5db443824" w:history="1">
        <w:r>
          <w:rPr>
            <w:rFonts w:ascii="Calibri" w:hAnsi="Calibri" w:eastAsia="Calibri" w:cs="Calibri"/>
            <w:color w:val="0000CC"/>
            <w:sz w:val="22"/>
            <w:szCs w:val="22"/>
            <w:u w:val="single"/>
          </w:rPr>
          <w:t xml:space="preserve">https://www.cabi.org/isc/datasheet/13074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non-European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w:t>
      </w:r>
      <w:hyperlink r:id="rId725267ce5db443875" w:history="1">
        <w:r>
          <w:rPr>
            <w:rFonts w:ascii="Calibri" w:hAnsi="Calibri" w:eastAsia="Calibri" w:cs="Calibri"/>
            <w:color w:val="0000CC"/>
            <w:sz w:val="22"/>
            <w:szCs w:val="22"/>
            <w:u w:val="single"/>
          </w:rPr>
          <w:t xml:space="preserve">https://efsa.onlinelibrary.wiley.com/doi/10.2903/j.efsa.2019.5671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Amanda Roe, Research Scientist with the Canadian Forest Service, Natural Resources Canada.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EPPO datasheets on pests recommended for regulation. Available online. </w:t>
      </w:r>
      <w:hyperlink r:id="rId451967ce5db44393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482761" name="name408767ce5db443a5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92067ce5db443a5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038340">
    <w:multiLevelType w:val="hybridMultilevel"/>
    <w:lvl w:ilvl="0" w:tplc="46081947">
      <w:start w:val="1"/>
      <w:numFmt w:val="decimal"/>
      <w:lvlText w:val="%1."/>
      <w:lvlJc w:val="left"/>
      <w:pPr>
        <w:ind w:left="720" w:hanging="360"/>
      </w:pPr>
    </w:lvl>
    <w:lvl w:ilvl="1" w:tplc="46081947" w:tentative="1">
      <w:start w:val="1"/>
      <w:numFmt w:val="lowerLetter"/>
      <w:lvlText w:val="%2."/>
      <w:lvlJc w:val="left"/>
      <w:pPr>
        <w:ind w:left="1440" w:hanging="360"/>
      </w:pPr>
    </w:lvl>
    <w:lvl w:ilvl="2" w:tplc="46081947" w:tentative="1">
      <w:start w:val="1"/>
      <w:numFmt w:val="lowerRoman"/>
      <w:lvlText w:val="%3."/>
      <w:lvlJc w:val="right"/>
      <w:pPr>
        <w:ind w:left="2160" w:hanging="180"/>
      </w:pPr>
    </w:lvl>
    <w:lvl w:ilvl="3" w:tplc="46081947" w:tentative="1">
      <w:start w:val="1"/>
      <w:numFmt w:val="decimal"/>
      <w:lvlText w:val="%4."/>
      <w:lvlJc w:val="left"/>
      <w:pPr>
        <w:ind w:left="2880" w:hanging="360"/>
      </w:pPr>
    </w:lvl>
    <w:lvl w:ilvl="4" w:tplc="46081947" w:tentative="1">
      <w:start w:val="1"/>
      <w:numFmt w:val="lowerLetter"/>
      <w:lvlText w:val="%5."/>
      <w:lvlJc w:val="left"/>
      <w:pPr>
        <w:ind w:left="3600" w:hanging="360"/>
      </w:pPr>
    </w:lvl>
    <w:lvl w:ilvl="5" w:tplc="46081947" w:tentative="1">
      <w:start w:val="1"/>
      <w:numFmt w:val="lowerRoman"/>
      <w:lvlText w:val="%6."/>
      <w:lvlJc w:val="right"/>
      <w:pPr>
        <w:ind w:left="4320" w:hanging="180"/>
      </w:pPr>
    </w:lvl>
    <w:lvl w:ilvl="6" w:tplc="46081947" w:tentative="1">
      <w:start w:val="1"/>
      <w:numFmt w:val="decimal"/>
      <w:lvlText w:val="%7."/>
      <w:lvlJc w:val="left"/>
      <w:pPr>
        <w:ind w:left="5040" w:hanging="360"/>
      </w:pPr>
    </w:lvl>
    <w:lvl w:ilvl="7" w:tplc="46081947" w:tentative="1">
      <w:start w:val="1"/>
      <w:numFmt w:val="lowerLetter"/>
      <w:lvlText w:val="%8."/>
      <w:lvlJc w:val="left"/>
      <w:pPr>
        <w:ind w:left="5760" w:hanging="360"/>
      </w:pPr>
    </w:lvl>
    <w:lvl w:ilvl="8" w:tplc="46081947" w:tentative="1">
      <w:start w:val="1"/>
      <w:numFmt w:val="lowerRoman"/>
      <w:lvlText w:val="%9."/>
      <w:lvlJc w:val="right"/>
      <w:pPr>
        <w:ind w:left="6480" w:hanging="180"/>
      </w:pPr>
    </w:lvl>
  </w:abstractNum>
  <w:abstractNum w:abstractNumId="70038339">
    <w:multiLevelType w:val="hybridMultilevel"/>
    <w:lvl w:ilvl="0" w:tplc="236405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038339">
    <w:abstractNumId w:val="70038339"/>
  </w:num>
  <w:num w:numId="70038340">
    <w:abstractNumId w:val="700383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2227633" Type="http://schemas.microsoft.com/office/2011/relationships/commentsExtended" Target="commentsExtended.xml"/><Relationship Id="rId391453335" Type="http://schemas.microsoft.com/office/2011/relationships/people" Target="people.xml"/><Relationship Id="rId209767ce5db43ee73" Type="http://schemas.openxmlformats.org/officeDocument/2006/relationships/hyperlink" Target="https://gd.eppo.int/taxon/CHONFU/" TargetMode="External"/><Relationship Id="rId671467ce5db43eee8" Type="http://schemas.openxmlformats.org/officeDocument/2006/relationships/hyperlink" Target="https://gd.eppo.int/taxon/CHONFU/categorization" TargetMode="External"/><Relationship Id="rId795467ce5db43f8bb" Type="http://schemas.openxmlformats.org/officeDocument/2006/relationships/hyperlink" Target="https://gd.eppo.int/taxon/CHONFU/photos" TargetMode="External"/><Relationship Id="rId201567ce5db44159b" Type="http://schemas.openxmlformats.org/officeDocument/2006/relationships/hyperlink" Target="https://qbank.eppo.int/arthropods/" TargetMode="External"/><Relationship Id="rId595067ce5db441624" Type="http://schemas.openxmlformats.org/officeDocument/2006/relationships/hyperlink" Target="http://www.boldsystems.org" TargetMode="External"/><Relationship Id="rId701867ce5db441eab" Type="http://schemas.openxmlformats.org/officeDocument/2006/relationships/hyperlink" Target="https://doi.org/10.1016/j.foreco.2013.05.008" TargetMode="External"/><Relationship Id="rId716467ce5db441faa" Type="http://schemas.openxmlformats.org/officeDocument/2006/relationships/hyperlink" Target="https://doi.org/10.1111/mec.14386" TargetMode="External"/><Relationship Id="rId322867ce5db442025" Type="http://schemas.openxmlformats.org/officeDocument/2006/relationships/hyperlink" Target="https://doi.org/10.1002/ecs2.1759" TargetMode="External"/><Relationship Id="rId979767ce5db442059" Type="http://schemas.openxmlformats.org/officeDocument/2006/relationships/hyperlink" Target="http://www.tortricid.net/foodplants.asp" TargetMode="External"/><Relationship Id="rId169967ce5db442060" Type="http://schemas.openxmlformats.org/officeDocument/2006/relationships/hyperlink" Target="http://www.tortricidae.com/foodplants.asp" TargetMode="External"/><Relationship Id="rId891867ce5db442106" Type="http://schemas.openxmlformats.org/officeDocument/2006/relationships/hyperlink" Target="https://doi.org/10.1111/syen.12211" TargetMode="External"/><Relationship Id="rId722967ce5db4421a1" Type="http://schemas.openxmlformats.org/officeDocument/2006/relationships/hyperlink" Target="https://doi.org/10.1016/j.cbpa.2021.110998" TargetMode="External"/><Relationship Id="rId745367ce5db4422ba" Type="http://schemas.openxmlformats.org/officeDocument/2006/relationships/hyperlink" Target="https://doi.org/10.1139/facets-2019-0029" TargetMode="External"/><Relationship Id="rId974267ce5db44233f" Type="http://schemas.openxmlformats.org/officeDocument/2006/relationships/hyperlink" Target="https://doi.org/10.1139/x11-134" TargetMode="External"/><Relationship Id="rId627067ce5db442431" Type="http://schemas.openxmlformats.org/officeDocument/2006/relationships/hyperlink" Target="https://doi.org/10.1016/j.ympev.2017.04.001" TargetMode="External"/><Relationship Id="rId931267ce5db442541" Type="http://schemas.openxmlformats.org/officeDocument/2006/relationships/hyperlink" Target="https://gd.eppo.int/taxon/HEMELE/documents" TargetMode="External"/><Relationship Id="rId143067ce5db4425e8" Type="http://schemas.openxmlformats.org/officeDocument/2006/relationships/hyperlink" Target="https://eur-lex.europa.eu/legal-content/EN/TXT/?uri=CELEX%3A32019R2072" TargetMode="External"/><Relationship Id="rId359267ce5db442767" Type="http://schemas.openxmlformats.org/officeDocument/2006/relationships/hyperlink" Target="https://doi.org/10.4039/Ent99449-5" TargetMode="External"/><Relationship Id="rId659667ce5db44282b" Type="http://schemas.openxmlformats.org/officeDocument/2006/relationships/hyperlink" Target="https://doi.org/10.1007/s10584-007-9317-5" TargetMode="External"/><Relationship Id="rId748467ce5db4429cd" Type="http://schemas.openxmlformats.org/officeDocument/2006/relationships/hyperlink" Target="https://doi.org/10.4039/Ent93594-7" TargetMode="External"/><Relationship Id="rId360267ce5db442b1f" Type="http://schemas.openxmlformats.org/officeDocument/2006/relationships/hyperlink" Target="https://doi.org/10.3390/f10100910" TargetMode="External"/><Relationship Id="rId329467ce5db442be1" Type="http://schemas.openxmlformats.org/officeDocument/2006/relationships/hyperlink" Target="https://doi.org/10.1016/j.ympev.2010.11.023" TargetMode="External"/><Relationship Id="rId239467ce5db442cc1" Type="http://schemas.openxmlformats.org/officeDocument/2006/relationships/hyperlink" Target="https://doi.org/10.1152/physiol.00037.2020" TargetMode="External"/><Relationship Id="rId449967ce5db442d45" Type="http://schemas.openxmlformats.org/officeDocument/2006/relationships/hyperlink" Target="https://doi.org/10.1111/1365-2435.12328" TargetMode="External"/><Relationship Id="rId713167ce5db442dc6" Type="http://schemas.openxmlformats.org/officeDocument/2006/relationships/hyperlink" Target="https://doi.org/10.4039/tce.2015.15" TargetMode="External"/><Relationship Id="rId171167ce5db442e49" Type="http://schemas.openxmlformats.org/officeDocument/2006/relationships/hyperlink" Target="https://doi.org/10.4039/n03-089" TargetMode="External"/><Relationship Id="rId873067ce5db443154" Type="http://schemas.openxmlformats.org/officeDocument/2006/relationships/hyperlink" Target="https://doi.org/10.1111/een.12336" TargetMode="External"/><Relationship Id="rId832467ce5db4431ea" Type="http://schemas.openxmlformats.org/officeDocument/2006/relationships/hyperlink" Target="https://doi.org/10.1111/eva.13338" TargetMode="External"/><Relationship Id="rId406067ce5db44341a" Type="http://schemas.openxmlformats.org/officeDocument/2006/relationships/hyperlink" Target="https://doi.org/10.1007/s10530-010-9918-1" TargetMode="External"/><Relationship Id="rId224167ce5db443491" Type="http://schemas.openxmlformats.org/officeDocument/2006/relationships/hyperlink" Target="https://doi.org/10.3390/f10090775" TargetMode="External"/><Relationship Id="rId718867ce5db443515" Type="http://schemas.openxmlformats.org/officeDocument/2006/relationships/hyperlink" Target="https://doi.org/10.1111/1744-7917.12407" TargetMode="External"/><Relationship Id="rId869567ce5db44359b" Type="http://schemas.openxmlformats.org/officeDocument/2006/relationships/hyperlink" Target="https://doi.org/10.1002/ecm.1270" TargetMode="External"/><Relationship Id="rId904267ce5db44362b" Type="http://schemas.openxmlformats.org/officeDocument/2006/relationships/hyperlink" Target="https://doi.org/10.1093/ee/9.5.640" TargetMode="External"/><Relationship Id="rId705867ce5db4437ac" Type="http://schemas.openxmlformats.org/officeDocument/2006/relationships/hyperlink" Target="https://doi.org/10.1111/j.1365-2486.2007.01402.x" TargetMode="External"/><Relationship Id="rId870767ce5db443824" Type="http://schemas.openxmlformats.org/officeDocument/2006/relationships/hyperlink" Target="https://www.cabi.org/isc/datasheet/13074" TargetMode="External"/><Relationship Id="rId725267ce5db443875" Type="http://schemas.openxmlformats.org/officeDocument/2006/relationships/hyperlink" Target="https://efsa.onlinelibrary.wiley.com/doi/10.2903/j.efsa.2019.5671" TargetMode="External"/><Relationship Id="rId451967ce5db443931" Type="http://schemas.openxmlformats.org/officeDocument/2006/relationships/hyperlink" Target="https://gd.eppo.int" TargetMode="External"/><Relationship Id="rId280067ce5db43f786" Type="http://schemas.openxmlformats.org/officeDocument/2006/relationships/image" Target="media/imgrId280067ce5db43f786.jpg"/><Relationship Id="rId750667ce5db440ed2" Type="http://schemas.openxmlformats.org/officeDocument/2006/relationships/image" Target="media/imgrId750667ce5db440ed2.jpg"/><Relationship Id="rId492067ce5db443a5b" Type="http://schemas.openxmlformats.org/officeDocument/2006/relationships/image" Target="media/imgrId492067ce5db443a5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