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Chrysobothris mali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Chrysobothris mali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Horn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Pacific flat-headed borer, Pacific flatheaded borer</w:t>
            </w:r>
            <w:hyperlink r:id="rId956366812e1da53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91666812e1da54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CHRBMA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is a large genus (approximately 690 species worldwide), with over 140 species in North America (Paiero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2012) and many species in the Palaearctic, including in the EPPO region (Löbl &amp; Smetana,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is polyphagous on a wide range of deciduous trees and shrubs in various families. Such a wide host range is unusual among buprestids, which are typically limited to a single host plant family or genus (Hansen, 2010). The host range in North America comprises many native hosts (cultivated or wild) and many exotic hosts (especially fruit and ornamental plants). The EPPO Pest Risk Analysis (EPPO PRA, EPPO, 2021) considered that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likely to be able to attack other deciduous trees and shrubs currently not recorded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below contains confirmed hosts as listed in the PRA (i.e. true hosts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shown to support the development of the pest) (EPPO, 2021), as well as hosts added later to EPPO Global Database, based on more recent literature. Details on host status and from the PRA are given under each host plant in EPPO Global Database, where available.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viscida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cuneatus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lemmonii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perplexans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prostratus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sorediatus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velutinus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Cercocarpus betuloides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Cercocarpus ledifolius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Cercocarpus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Chrysothamnus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 subsp.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Pickeringia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Purshia stansburiana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gambelii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erythrocarpum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is native to the USA and Canada and has been found only in these countries to date. In the USA,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reported mostly west of the Rocky Mountains, with only a few records east of this mountain range. In Canada,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has been reported from British Colombia to Manitoba, and its northernmost record is at approximately 50° N latitude. A few records in the literature (Minnesota, Indiana, Mexico) were considered doubtful or invalid in the EPPO PRA (EPPO, 2021).</w:t>
      </w:r>
    </w:p>
    <w:p>
      <w:r>
        <w:drawing>
          <wp:inline distT="0" distB="0" distL="0" distR="0">
            <wp:extent cx="6120000" cy="3067200"/>
            <wp:docPr id="94762738" name="name714166812e1da6db9" descr="CHRB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MA_distribution_map.jpg"/>
                    <pic:cNvPicPr/>
                  </pic:nvPicPr>
                  <pic:blipFill>
                    <a:blip r:embed="rId923666812e1da6d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Saskatchewan), United States of America (Arizona, California, Colorado, Idaho, Montana, Nevada, New Mexico, North Dakota, Oregon, Texas,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generally has one generation per year, but 2–3 years may be necessary in the northern part of its range and at higher altitudes (Beddes &amp; Caron, 2014; Burke, 1929; Solomon, 1995; Steed &amp; Burton, 2015). Adults are found from April to August depending on latitude, with a narrower emergence period in some locations (Rijal, 2019; Solomon, 1995; Steed &amp; Burton, 2015). There is no data on the feeding habits of adults nor their longevity (EPPO, 2021). Females lay up to 100 eggs (Steed &amp; Burton, 2015), generally in bark cracks and crevices (Bright, 1987; Steed &amp; Burton, 2015).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eggs may be oviposited on, and larvae develop in, trunks or branches (Burke, 1929; Rijal &amp; Seybold, 2019a) at various heights. Adults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like those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are attracted to recently cut parts of host plants (EPPO, 2021). Eggs are laid singly, sometimes close enough to form a group (Beddes &amp; Caron, 2014; Burke, 1929), and hatch within 2–3 weeks depending on the temperature (Beddes &amp; Caron, 2014;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First-instar larvae bore into the bark. Larvae tunnel galleries and feed primarily in the phloem and cambium (inner bark) and the sapwood (outer wood) (Beddes &amp; Caron, 2014; Burke, 1929; Solomon, 1995). In young trees with thin bark or in weakened trees, galleries can girdle the trunk or branch (Bright, 1987; Steed &amp; Burton, 2015). Mature pupae tunnel from the cambium deeper into the sapwood, and in young and small trees, sometimes the hardwood, to pupate (Bright, 1987; EPPO, 2021; Solomon, 1995). Larvae may tunnel up to 5 cm-deep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may be several galleries in a tree, and several adults emerging from one tree (EPPO, 2021). Overwintering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may occur at different stages: feeding larvae, prepupal larvae (last instar larvae that have finished the feeding stage) and pupae (Burke, 1929,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attacks different size trees including large trees, although it is normally known as a pest of young trees (Rijal, 2019). On walnut in California, damage was found on trees of different ages, and was distributed randomly throughout the trees (incl. twigs, branches and trunks) (Rijal &amp; Seybold, 2019a). On small trees, the trunk is generally attacked (Burke, 1929; Steed &amp; Burton, 2015).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appears to prefer weakened and stressed trees (Beddes &amp; Caron, 2014; Burke, 1929; Rijal, 2019). Newly-planted trees are especially sensitive (Beddes &amp; Caron, 2014; Bright, 1987). Other stresses mentioned in the literature in relation to attacks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include drought and sunscald (Beddes &amp; Caron, 2014; Burke, 1929). However, in observations in walnut orchards in California, branches on healthy trees were also attacked (Rijal &amp; Seybold,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on stems and branches may resemble those caused by other wood boring insects. They include sap oozing and broad and sinuous larval galleries under the bark (Beddes &amp; Caron, 2014; Steed &amp; Burton, 2015). In young trees, larval galleries may measure 5 cm in length (EPPO, 2021), but on young hazelnut trees,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larvae may create spiralling galleries 50 cm-long or more (N. Wiman, personal communication in EPPO, 2021). There may be sawdust-like frass at bark cracks, under flaking bark and in galleries, but little or no sawdust is ejected except at bark cracks (Beddes &amp; Caron, 2014; Steed &amp; Burton, 2015). Trees may present wounds or sunken/depressed areas on the bark (Beddes &amp; Caron, 2014). The bark may gradually take on a darkened, wet and greasy appearance, and may present splitting, peeling and flaking (Beddes &amp; Caron, 2014; Steed &amp; Burton, 2015). Exit holes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are typical for Buprestidae and are D-shaped to oval, and measure 3–5 mm wide (Beddes &amp; Caron, 2014; EPPO, 2021). Infested trees are weakened, branch dieback may occur, and newly-planted trees may die (Beddes &amp; Caron, 2014; Bright, 1987; Steed &amp; Burton,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disk-like, whitish, flattened and wrinkled, and measure approximately 1 mm in diameter (Burke, 1929;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yellowish-white to yellow, with greatly enlarged and flattened thoracic segments. Mature larvae measure 15–18 mm long (Burke, 1929;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pale yellow, sometimes becoming brown, and measure 6–11 mm long (Beddes &amp; Caron, 2014;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typical buprestids, with a broad oval shape, metallic colours and large compound eyes (EPPO, 2021). Adults are dark-bronze to reddish-copper, with dull to coppery spots and short inconspicuous white hairs covering elytra, and measure 6–11 mm long and 3–5 mm wide (Burke, 1929; Steed &amp; Burton,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in the field relies mostly on visual examination of vulnerable trees for symptoms (Beddes &amp; Caron, 2014). The EPPO PRA (EPPO, 2021) considered that detection is difficult as infestations are usually not apparent until larvae are large enough to produce visible injury on the trunk surface or branch dieback occurs. Trapping is possible, for example using sticky traps, but there is no specific attractant available. Such traps also capture other Buprestidae and identification is required. In surveys in California, where both species occur,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was captured in purple traps, while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adults were more attracted to green traps (Rijal &amp; Seybold, 2019a).</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should be done by a specialist of the genus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For a reliable morphological identification, adults should be available.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can be distinguished from species in the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complex by morphological methods. In addition,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can also be identified using DNA barcoding (Acheampong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adults can fly, but no specific data was found on their flight capacity. As with other Buprestidae, it is expected that when host trees are abundant, spread is minimal.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polyphagous, which would favour it finding hosts in the vicinity of the tree or shrub from which it emerged. Trees planted along roads or in cities may be in a condition favouring attacks (e.g. due to stress) and may constitute biological corridors for the spread of the pest. Large areas of new plantings may also favour the rapid build-up of populations and further spread. Unlike monophagous species like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polyphagous species such as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will have more potential corridors for spread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could spread via the transportation of plants for planting, wood, wood products, and wood packaging material (if not treated according to ISPM 15). There is a large trade of deciduous woody plants for planting and wood within the EPPO region so, once introduced, the pest could rapidly spread in the EPPO region. Transport as a contaminant on vehicles or non-host commodities may also play a role locally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can disrupt nutrient and water movement in trees (EPPO, 2021). In young trees, galleries may girdle the trunk and lead to tree death (Beddes &amp; Caron, 2014; Bright, 1987; Steed &amp; Burton, 2015). On walnut in California and hazelnut in Oregon and Washington,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commonly attacks young trees (1–2 years) and can seriously damage trees and lead to mortality (Rijal &amp; Seybold, 2019a; N. Wiman, personal communication). In several walnut orchards, a wide range of tree ages were infested, from young trees (1–2 years old) to mature trees (15–20 years old). High-density of galleries led to the flagging and breakage of nut-bearing branches (Rijal &amp; Seybold, 2019a). In hazelnut, the main economic issue is the loss of young hazelnut trees due to girdling of the main stem/trunk. Attacks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also occur in branches throughout the canopy in diseased orchards, especially in hazelnuts attacked by the fungus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(N. Wiman, personal communication). Attacks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rarely kill mature trees (Steed &amp; Burton, 2015).</w:t>
      </w:r>
    </w:p>
    <w:p>
      <w:pPr>
        <w:widowControl w:val="on"/>
        <w:pBdr/>
        <w:spacing w:before="220" w:after="220" w:line="240" w:lineRule="auto"/>
        <w:ind w:left="0" w:right="0"/>
        <w:jc w:val="both"/>
      </w:pPr>
      <w:r>
        <w:rPr>
          <w:rFonts w:ascii="Calibri" w:hAnsi="Calibri" w:eastAsia="Calibri" w:cs="Calibri"/>
          <w:color w:val="000000"/>
          <w:sz w:val="22"/>
          <w:szCs w:val="22"/>
        </w:rPr>
        <w:t xml:space="preserve">Higher damage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has been reported in areas with a dry climate or dry summers, especially in California and Oregon. In other areas of North America, the species may become an more important pest in certain conditions (e.g. extensive planting of trees at a sensitive stage or a tree species not suited to a particular area).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was considered one of the worst pests of newly planted trees and shrubs in the continental Pacific coast states to British Columbia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it has long been recognized as a problematic pest of young new orchards, shade trees and certain forest species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1920s, attacks in orchards were common in some localities of California (for example on apple, plums, sweet and sour cherry, peach, apricot), with losses ranging from a few trees per orchard to 95% (Burke, 1929). In the end of the 1990s,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was an occasional pest on apple in California but a serious problem in newly planted orchards, where up to 25% of trees in a young orchard could be killed unless preventive measures were taken (IPM Centers Crop Profiles, 1999a). Similar issues were reported on pear in Oregon (IPM Centers Crop Profiles, 1999b).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was also considered a minor pest of almond and plum in California (IPM Centers Crop Profiles, 1999c, 1999d; Strand &amp; Ohlendorf, 2002).</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reports of damage relate to nurseries and fruit crops.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can be an issue in shade tree production blocks, particularly grafted species, and where stress occurs (Rosetta, 2019 citing others). In 2018–2019,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has become a widespread issue in English walnut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Central California (Rijal &amp; Seybold, 2019a). In two young orchards (1- and 2- year old), over 90% of trees were infested (trunk) (Rijal &amp; Seybold, 2019b). In Oregon,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has caused serious problems for the establishment of hazelnut orchards with up to 35% loss in some orchards, and it also attacks apples and cherries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On hazelnut,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the main concern, and attacks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are not considered an economic issue (N. Wiman, personal communication in EPPO, 2021). Recent dry, hot summers, suboptimal planting sites, rapid rise in new acreage, and poor management are mentioned as possible factors favouring the recent increased attacks in hazelnut crops (Keyes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Mugica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Damage to blueberry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hybrids) has been reported from California (serious damage in some years in the Central valley) and to a lesser extent Oregon (Cahill, 2020). Guidance on the management of this pest is provided in the Pacific Northwest and California for apple, apricot, blueberry, cherry, prune, plum and peach (IPM Centers Crop Profiles, 2018; Pacific Northwest Extension, 2023; UC IPM, 2020). Finally, there is one report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as a pest of apple saplings in an area of British Columbia with low rainfall (Acheampong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environmental or social impacts in North America.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part of the forest environment, but no extensive damage is reported.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is complicated by the wide host range and the fact that infestations are usually not apparent until larvae are large enough to produce visible injury on the trunk surface or branch dieback occurs (EPPO, 2021). Chemical control methods similar to those for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are available (such as soil drenches and trunk sprays; Beddes &amp; Caron, 2014). However, the availability of labelled insecticides for fruit or nut bearing crops commonly attacked by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probably more limited (EPPO, 2021). In walnut orchards in California cultural methods are critical as there are no insecticides registered against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(Rijal &amp; Seybold, 2019a).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are applied to maintain tree health, avoid stress and control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populations. These relate to the choice of appropriate planting sites, tree species and cultivars, avoiding planting too deep, providing appropriate watering, mulch and fertilization, and avoiding injuries to trees. Host tree trunks can be inspected during the growing season, and infested material removed to prevent emergence of adults (Beddes &amp; Caron, 2014;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Solomon, 1995). In walnut orchards weakened, injured, dead, and flagged branches should be removed (Rijal &amp; Seybold, 2019a). In shade tree production blocks, growers destroy infested trees (Rosetta, 2019 citing others). Finally, natural enemies can reduce populations under natural conditions (Solomon, 1995). There are no commercial biological control agents available against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Most host genera and species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occur in the EPPO region, where they are planted as fruit, forest, plantation or ornamental (private and public gardens, landscaping) trees and shrubs, or are native and grow in the wild, in some cases over wide areas. As in North America,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would probably be able to attack new hosts in the EPPO region. According to EPPO (2021), the areas in the EPPO region conducive to impact would include at least the southern part of the region, from the Mediterranean Basin to Central Asia. More damage is reported from areas with dry climate or dry summers. Economic damage is also expected in part of the temperate areas from Europe to Central Asia. The northern limit of establishment and impact is uncertain, but there may be occasional outbreaks in more northern areas when conditions are appropriate (e.g. during warm dry summers), and the pest may also extend its life cycle to 2–3 years.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could cause the same type of damage in the EPPO region as in the USA, i.e. mortality or damage to trees, but impact could potentially be higher in the EPPO region, because insecticide treatments that are effective in the USA are not available in at least part of the EPPO region.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is likely to affect primarily newly planted trees and weakened/stressed trees, especially in the landscape, nurseries, orchards and forest plantations. Young organic fruit orchards may experience greater attack rates (i.e. young trees, and limited availability of plant protection products).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may also pose a risk for older trees, based on current issues with branch attacks in larger walnut trees in California (Rijal &amp; Seybold, 2019a). The presence of many other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in the EPPO region is likely to make early detection difficult. In addition, unlike in North America, environmental impact may occur where host species play an important ecological role. For example, common hosts grown as ornamental plants in the USA (e.g.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are common trees in the environments and forests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2021) recommends phytosanitary measures for plants for planting (except seeds, tissue cultures and pollen), cut branches, round wood and sawn wood (&gt;6 mm) of hosts confirmed to be true hosts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as well as for deciduous wood chips and similar commodities. For plants for planting and cut branches, risk management options are pest free area and pest free production site under complete physical isolation. For plants for planting only, post-entry quarantine is also an option as well as a systems approach combining plants of a diameter below a certain size (dependent on the host species), growing vegetation of 30–45 cm height around the base of the plants, and visual inspection of the crop and of the consignment. As is the case for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the presence of vegetation at the base of the trees is expected to modify the female egg-laying behaviour or larval survival (Addesso et al., 2020), and has been identified as a possible component of control methods. For round wood and sawn wood, risk management options are pest free area, heat treatment, irradiation and fumigation with sulfuryl fluoride, and for wood chips, pest free area. In addition, where a risk of infestation exists following the application of a risk management option, consignments should be stored and transported in conditions preventing infestation. The establishment of pest free areas was considered possible in Eastern USA and part of Canada, with the condition that the absence of the pest should be fully demonstrated (EPPO, 2021). Wood packaging material should be treated according to ISPM 15 (FAO, 2018). Finally, for plants for planting, cut branches, round wood and sawn wood of hosts that have an uncertain status in the PRA (not confirmed hosts), the only measure recommended is that they should be accompanied with a phytosanitary certificate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Acheampong S, Zilahi GMG, Foottit RG &amp; Judd GJR (2017) Pacific Flatheaded Borer, </w:t>
      </w: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Horn (Coleoptera: Buprestidae), found attacking apple saplings in the Southern Interior of British Columbia.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113, 71-73.</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 Oliver J, Youssef N &amp; Fare D (2020) Evaluation of systemic imidacloprid and herbicide treatments on flatheaded borer (Coleoptera: Buprestidae) management in field nursery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113(6), 2808–2819.</w:t>
      </w:r>
    </w:p>
    <w:p>
      <w:pPr>
        <w:widowControl w:val="on"/>
        <w:pBdr/>
        <w:spacing w:before="220" w:after="220" w:line="240" w:lineRule="auto"/>
        <w:ind w:left="0" w:right="0"/>
        <w:jc w:val="left"/>
      </w:pPr>
      <w:r>
        <w:rPr>
          <w:rFonts w:ascii="Calibri" w:hAnsi="Calibri" w:eastAsia="Calibri" w:cs="Calibri"/>
          <w:color w:val="000000"/>
          <w:sz w:val="22"/>
          <w:szCs w:val="22"/>
        </w:rPr>
        <w:t xml:space="preserve">Beddes T &amp; Caron M (2014) Pacific Flatheaded Borer and Flatheaded Appletree Borer. Utah Pests Fact Sheet, ENT-170-14PR. 4 pp.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In The insects and arachnids of Canada (p. part. 15). Ottawa: Biosystematics Research Center.</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(1929) The Pacific Flathead Borer. Technical Bulletin - United States Department of Agriculture, Washington D.C. 83. 36 pp.</w:t>
      </w:r>
    </w:p>
    <w:p>
      <w:pPr>
        <w:widowControl w:val="on"/>
        <w:pBdr/>
        <w:spacing w:before="220" w:after="220" w:line="240" w:lineRule="auto"/>
        <w:ind w:left="0" w:right="0"/>
        <w:jc w:val="left"/>
      </w:pPr>
      <w:r>
        <w:rPr>
          <w:rFonts w:ascii="Calibri" w:hAnsi="Calibri" w:eastAsia="Calibri" w:cs="Calibri"/>
          <w:color w:val="000000"/>
          <w:sz w:val="22"/>
          <w:szCs w:val="22"/>
        </w:rPr>
        <w:t xml:space="preserve">Cahill D (2020) Controlling Pacific Flathead Borer in Agricultural Crops. Organic Farmer. Retrieved from </w:t>
      </w:r>
      <w:hyperlink r:id="rId332066812e1da7eb1" w:history="1">
        <w:r>
          <w:rPr>
            <w:rFonts w:ascii="Calibri" w:hAnsi="Calibri" w:eastAsia="Calibri" w:cs="Calibri"/>
            <w:color w:val="0000CC"/>
            <w:sz w:val="22"/>
            <w:szCs w:val="22"/>
            <w:u w:val="single"/>
          </w:rPr>
          <w:t xml:space="preserve">https://organicfarmermag.com/2020/07/controlling-pacific-flathead-borer-in-agricultural-crops/</w:t>
        </w:r>
      </w:hyperlink>
      <w:r>
        <w:rPr>
          <w:rFonts w:ascii="Calibri" w:hAnsi="Calibri" w:eastAsia="Calibri" w:cs="Calibri"/>
          <w:color w:val="000000"/>
          <w:sz w:val="22"/>
          <w:szCs w:val="22"/>
        </w:rPr>
        <w:t xml:space="preserve"> [accessed 22-11-2023]</w:t>
      </w:r>
    </w:p>
    <w:p>
      <w:pPr>
        <w:widowControl w:val="on"/>
        <w:pBdr/>
        <w:spacing w:before="220" w:after="220" w:line="240" w:lineRule="auto"/>
        <w:ind w:left="0" w:right="0"/>
        <w:jc w:val="left"/>
      </w:pPr>
      <w:r>
        <w:rPr>
          <w:rFonts w:ascii="Calibri" w:hAnsi="Calibri" w:eastAsia="Calibri" w:cs="Calibri"/>
          <w:color w:val="000000"/>
          <w:sz w:val="22"/>
          <w:szCs w:val="22"/>
        </w:rPr>
        <w:t xml:space="preserve">Capizzi J, Miller J &amp; Green J (1982) Flatheaded apple tree borer &amp; Pacific flatheaded borer: Live Larvae - Dead Trees. </w:t>
      </w:r>
      <w:r>
        <w:rPr>
          <w:rFonts w:ascii="Calibri" w:hAnsi="Calibri" w:eastAsia="Calibri" w:cs="Calibri"/>
          <w:i/>
          <w:iCs/>
          <w:color w:val="000000"/>
          <w:sz w:val="22"/>
          <w:szCs w:val="22"/>
        </w:rPr>
        <w:t xml:space="preserve">Ornamentals Northwest Archives</w:t>
      </w:r>
      <w:r>
        <w:rPr>
          <w:rFonts w:ascii="Calibri" w:hAnsi="Calibri" w:eastAsia="Calibri" w:cs="Calibri"/>
          <w:color w:val="000000"/>
          <w:sz w:val="22"/>
          <w:szCs w:val="22"/>
        </w:rPr>
        <w:t xml:space="preserve"> 6, 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1083. Pest risk analysis for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EPPO, Paris. Available at </w:t>
      </w:r>
      <w:hyperlink r:id="rId707966812e1da7f7b" w:history="1">
        <w:r>
          <w:rPr>
            <w:rFonts w:ascii="Calibri" w:hAnsi="Calibri" w:eastAsia="Calibri" w:cs="Calibri"/>
            <w:color w:val="0000CC"/>
            <w:sz w:val="22"/>
            <w:szCs w:val="22"/>
            <w:u w:val="single"/>
          </w:rPr>
          <w:t xml:space="preserve">https://gd.eppo.int/taxon/CHRBFE/documents</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15 Regulation of wood packaging material in international trade.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Available at </w:t>
      </w:r>
      <w:hyperlink r:id="rId145066812e1da7fdc"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[accessed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(2010) Identification and Phylogenetic Characterization of Select Species of Buprestidae (Coleoptera) and Sesiidae (Lepidoptera) Wood Boring Insect Families Occuring Across the Southeastern United States. University of Tennessee. PhD Thesis. 205 pp.</w:t>
      </w:r>
    </w:p>
    <w:p>
      <w:pPr>
        <w:widowControl w:val="on"/>
        <w:pBdr/>
        <w:spacing w:before="220" w:after="220" w:line="240" w:lineRule="auto"/>
        <w:ind w:left="0" w:right="0"/>
        <w:jc w:val="left"/>
      </w:pPr>
      <w:r>
        <w:rPr>
          <w:rFonts w:ascii="Calibri" w:hAnsi="Calibri" w:eastAsia="Calibri" w:cs="Calibri"/>
          <w:color w:val="000000"/>
          <w:sz w:val="22"/>
          <w:szCs w:val="22"/>
        </w:rPr>
        <w:t xml:space="preserve">IPM Centers Crop Profiles (1999a) Crop Profile for apples in California. </w:t>
      </w:r>
      <w:hyperlink r:id="rId349866812e1da803c" w:history="1">
        <w:r>
          <w:rPr>
            <w:rFonts w:ascii="Calibri" w:hAnsi="Calibri" w:eastAsia="Calibri" w:cs="Calibri"/>
            <w:color w:val="0000CC"/>
            <w:sz w:val="22"/>
            <w:szCs w:val="22"/>
            <w:u w:val="single"/>
          </w:rPr>
          <w:t xml:space="preserve">https://ipmdata.ipmcenters.org/documents/cropprofiles/CAapples.pdf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IPM Centers Crop Profiles (1999b) Crop Profile for pears in Oregon. Prepared: October 26, 1999. </w:t>
      </w:r>
      <w:hyperlink r:id="rId344766812e1da807a" w:history="1">
        <w:r>
          <w:rPr>
            <w:rFonts w:ascii="Calibri" w:hAnsi="Calibri" w:eastAsia="Calibri" w:cs="Calibri"/>
            <w:color w:val="0000CC"/>
            <w:sz w:val="22"/>
            <w:szCs w:val="22"/>
            <w:u w:val="single"/>
          </w:rPr>
          <w:t xml:space="preserve">https://ipmdata.ipmcenters.org/documents/cropprofiles/ORpears.pdf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IPM Centers Crop Profiles (1999c) Crop Profile for almonds in California. Prepared: October 26, 1999. </w:t>
      </w:r>
      <w:hyperlink r:id="rId225566812e1da80b8" w:history="1">
        <w:r>
          <w:rPr>
            <w:rFonts w:ascii="Calibri" w:hAnsi="Calibri" w:eastAsia="Calibri" w:cs="Calibri"/>
            <w:color w:val="0000CC"/>
            <w:sz w:val="22"/>
            <w:szCs w:val="22"/>
            <w:u w:val="single"/>
          </w:rPr>
          <w:t xml:space="preserve">https://ipmdata.ipmcenters.org/documents/cropprofiles/CAalmonds.pdf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IPM Centers Crop Profiles (1999d) Crop Profile for prunes in California. Prepared: October 26, 1999. </w:t>
      </w:r>
      <w:hyperlink r:id="rId362566812e1da80f6" w:history="1">
        <w:r>
          <w:rPr>
            <w:rFonts w:ascii="Calibri" w:hAnsi="Calibri" w:eastAsia="Calibri" w:cs="Calibri"/>
            <w:color w:val="0000CC"/>
            <w:sz w:val="22"/>
            <w:szCs w:val="22"/>
            <w:u w:val="single"/>
          </w:rPr>
          <w:t xml:space="preserve">https://ipmdata.ipmcenters.org/documents/cropprofiles/CAprunes.pdf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IPM Centers Crop Profiles (2018) A pest management strategic plan for California prune production </w:t>
      </w:r>
      <w:hyperlink r:id="rId179666812e1da8134" w:history="1">
        <w:r>
          <w:rPr>
            <w:rFonts w:ascii="Calibri" w:hAnsi="Calibri" w:eastAsia="Calibri" w:cs="Calibri"/>
            <w:color w:val="0000CC"/>
            <w:sz w:val="22"/>
            <w:szCs w:val="22"/>
            <w:u w:val="single"/>
          </w:rPr>
          <w:t xml:space="preserve">https://ipmdata.ipmcenters.org/documents/pmsps/2018PRUNEPMSP.pdf</w:t>
        </w:r>
      </w:hyperlink>
      <w:r>
        <w:rPr>
          <w:rFonts w:ascii="Calibri" w:hAnsi="Calibri" w:eastAsia="Calibri" w:cs="Calibri"/>
          <w:color w:val="000000"/>
          <w:sz w:val="22"/>
          <w:szCs w:val="22"/>
        </w:rPr>
        <w:t xml:space="preserve"> </w:t>
      </w:r>
      <w:hyperlink r:id="rId125166812e1da8154" w:history="1"/>
    </w:p>
    <w:p>
      <w:pPr>
        <w:widowControl w:val="on"/>
        <w:pBdr/>
        <w:spacing w:before="220" w:after="220" w:line="240" w:lineRule="auto"/>
        <w:ind w:left="0" w:right="0"/>
        <w:jc w:val="left"/>
      </w:pPr>
      <w:r>
        <w:rPr>
          <w:rFonts w:ascii="Calibri" w:hAnsi="Calibri" w:eastAsia="Calibri" w:cs="Calibri"/>
          <w:color w:val="000000"/>
          <w:sz w:val="22"/>
          <w:szCs w:val="22"/>
        </w:rPr>
        <w:t xml:space="preserve">Keyes T, Andrews H, Rudolph E, Mugica A &amp; Wiman N (2020) Biology and Morphometrics of the Pacific Flatheaded Borer. In </w:t>
      </w:r>
      <w:r>
        <w:rPr>
          <w:rFonts w:ascii="Calibri" w:hAnsi="Calibri" w:eastAsia="Calibri" w:cs="Calibri"/>
          <w:i/>
          <w:iCs/>
          <w:color w:val="000000"/>
          <w:sz w:val="22"/>
          <w:szCs w:val="22"/>
        </w:rPr>
        <w:t xml:space="preserve">94th Annual Orchard Pest &amp; Disease Management Conference</w:t>
      </w:r>
      <w:r>
        <w:rPr>
          <w:rFonts w:ascii="Calibri" w:hAnsi="Calibri" w:eastAsia="Calibri" w:cs="Calibri"/>
          <w:color w:val="000000"/>
          <w:sz w:val="22"/>
          <w:szCs w:val="22"/>
        </w:rPr>
        <w:t xml:space="preserve">, p. 44. Hilton Portland, Portland, Oregon January 8-10. OPDMC. </w:t>
      </w:r>
      <w:hyperlink r:id="rId116966812e1da81ad" w:history="1"/>
    </w:p>
    <w:p>
      <w:pPr>
        <w:widowControl w:val="on"/>
        <w:pBdr/>
        <w:spacing w:before="220" w:after="220" w:line="240" w:lineRule="auto"/>
        <w:ind w:left="0" w:right="0"/>
        <w:jc w:val="left"/>
      </w:pPr>
      <w:r>
        <w:rPr>
          <w:rFonts w:ascii="Calibri" w:hAnsi="Calibri" w:eastAsia="Calibri" w:cs="Calibri"/>
          <w:color w:val="000000"/>
          <w:sz w:val="22"/>
          <w:szCs w:val="22"/>
        </w:rPr>
        <w:t xml:space="preserve">Löbl I &amp; Smetana A (2006) Catalogue of Palaearctic Coleoptera, Volume 3: Scarabaeoidea - Scirtoidea - Dascilloidea - Buprestoidea - Byrrhoidea. Apollo Books.</w:t>
      </w:r>
    </w:p>
    <w:p>
      <w:pPr>
        <w:widowControl w:val="on"/>
        <w:pBdr/>
        <w:spacing w:before="220" w:after="220" w:line="240" w:lineRule="auto"/>
        <w:ind w:left="0" w:right="0"/>
        <w:jc w:val="left"/>
      </w:pPr>
      <w:r>
        <w:rPr>
          <w:rFonts w:ascii="Calibri" w:hAnsi="Calibri" w:eastAsia="Calibri" w:cs="Calibri"/>
          <w:color w:val="000000"/>
          <w:sz w:val="22"/>
          <w:szCs w:val="22"/>
        </w:rPr>
        <w:t xml:space="preserve">Mugica A, Andrews H, Rudolph E, Keyes T, Transue K &amp; Wiman N (2020) Biology and Management of the Pacific Flatheaded Borer in Hazelnuts. In </w:t>
      </w:r>
      <w:r>
        <w:rPr>
          <w:rFonts w:ascii="Calibri" w:hAnsi="Calibri" w:eastAsia="Calibri" w:cs="Calibri"/>
          <w:i/>
          <w:iCs/>
          <w:color w:val="000000"/>
          <w:sz w:val="22"/>
          <w:szCs w:val="22"/>
        </w:rPr>
        <w:t xml:space="preserve">94th Annual Orchard Pest &amp; Disease Management Conference</w:t>
      </w:r>
      <w:r>
        <w:rPr>
          <w:rFonts w:ascii="Calibri" w:hAnsi="Calibri" w:eastAsia="Calibri" w:cs="Calibri"/>
          <w:color w:val="000000"/>
          <w:sz w:val="22"/>
          <w:szCs w:val="22"/>
        </w:rPr>
        <w:t xml:space="preserve">, p. 43. Portland, Oregon January 8-10, OPDMC.</w:t>
      </w:r>
    </w:p>
    <w:p>
      <w:pPr>
        <w:widowControl w:val="on"/>
        <w:pBdr/>
        <w:spacing w:before="220" w:after="220" w:line="240" w:lineRule="auto"/>
        <w:ind w:left="0" w:right="0"/>
        <w:jc w:val="left"/>
      </w:pPr>
      <w:r>
        <w:rPr>
          <w:rFonts w:ascii="Calibri" w:hAnsi="Calibri" w:eastAsia="Calibri" w:cs="Calibri"/>
          <w:color w:val="000000"/>
          <w:sz w:val="22"/>
          <w:szCs w:val="22"/>
        </w:rPr>
        <w:t xml:space="preserve">Pacific Northwest Extension (2023) Pacific Northwest Handbooks. </w:t>
      </w:r>
      <w:hyperlink r:id="rId124866812e1da8238" w:history="1">
        <w:r>
          <w:rPr>
            <w:rFonts w:ascii="Calibri" w:hAnsi="Calibri" w:eastAsia="Calibri" w:cs="Calibri"/>
            <w:color w:val="0000CC"/>
            <w:sz w:val="22"/>
            <w:szCs w:val="22"/>
            <w:u w:val="single"/>
          </w:rPr>
          <w:t xml:space="preserve">https://pnwhandbooks.org/</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(Coleoptera: Buprestidae) of Northeastern North America. Canadian Food Inspection Agency.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Rijal J (2019) Increasing Evidence of Pacific Flatheaded Borer Attack in Walnut Orchards in California. West Coast Nut. Retrieved from </w:t>
      </w:r>
      <w:hyperlink r:id="rId601066812e1da8297" w:history="1">
        <w:r>
          <w:rPr>
            <w:rFonts w:ascii="Calibri" w:hAnsi="Calibri" w:eastAsia="Calibri" w:cs="Calibri"/>
            <w:color w:val="0000CC"/>
            <w:sz w:val="22"/>
            <w:szCs w:val="22"/>
            <w:u w:val="single"/>
          </w:rPr>
          <w:t xml:space="preserve">https://www.wcngg.com/2019/11/04/increasing-evidence-of-pacific-flatheaded-borer-attack-in-walnut-orchards-in-california</w:t>
        </w:r>
      </w:hyperlink>
      <w:r>
        <w:rPr>
          <w:rFonts w:ascii="Calibri" w:hAnsi="Calibri" w:eastAsia="Calibri" w:cs="Calibri"/>
          <w:color w:val="000000"/>
          <w:sz w:val="22"/>
          <w:szCs w:val="22"/>
        </w:rPr>
        <w:t xml:space="preserve"> [accessed 22-11-2023]</w:t>
      </w:r>
    </w:p>
    <w:p>
      <w:pPr>
        <w:widowControl w:val="on"/>
        <w:pBdr/>
        <w:spacing w:before="220" w:after="220" w:line="240" w:lineRule="auto"/>
        <w:ind w:left="0" w:right="0"/>
        <w:jc w:val="left"/>
      </w:pPr>
      <w:r>
        <w:rPr>
          <w:rFonts w:ascii="Calibri" w:hAnsi="Calibri" w:eastAsia="Calibri" w:cs="Calibri"/>
          <w:color w:val="000000"/>
          <w:sz w:val="22"/>
          <w:szCs w:val="22"/>
        </w:rPr>
        <w:t xml:space="preserve">Rijal J &amp; Seybold S (2019a) Biology and control of Pacific flatheaded borer in walnuts. 10 pp. Retrieved from </w:t>
      </w:r>
      <w:hyperlink r:id="rId876866812e1da82d6" w:history="1">
        <w:r>
          <w:rPr>
            <w:rFonts w:ascii="Calibri" w:hAnsi="Calibri" w:eastAsia="Calibri" w:cs="Calibri"/>
            <w:color w:val="0000CC"/>
            <w:sz w:val="22"/>
            <w:szCs w:val="22"/>
            <w:u w:val="single"/>
          </w:rPr>
          <w:t xml:space="preserve">https://ucanr.edu/sites/cawalnut/files/319307.pdf</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Rijal J &amp; Seybold S (2019b) English Walnut Production and Factors Affecting Flatheaded Borers and Their Management in California. In Flatheaded Borer Workshop, p. 32.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Rosetta R (2019) Important Flatheaded Borer Species Impacting Ornamental Trees and Shrubs in Oregon. In Flatheaded Borer Workshop, p. 31.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Order Coleoptera – Beetles. In Guide to Insect Borers in North American Broadleaf Trees and Shrubs, pp. 213-584. USDA Forest Service, Agriculture Handbook, AH-706. </w:t>
      </w:r>
      <w:hyperlink r:id="rId862466812e1da8352" w:history="1"/>
    </w:p>
    <w:p>
      <w:pPr>
        <w:widowControl w:val="on"/>
        <w:pBdr/>
        <w:spacing w:before="220" w:after="220" w:line="240" w:lineRule="auto"/>
        <w:ind w:left="0" w:right="0"/>
        <w:jc w:val="left"/>
      </w:pPr>
      <w:r>
        <w:rPr>
          <w:rFonts w:ascii="Calibri" w:hAnsi="Calibri" w:eastAsia="Calibri" w:cs="Calibri"/>
          <w:color w:val="000000"/>
          <w:sz w:val="22"/>
          <w:szCs w:val="22"/>
        </w:rPr>
        <w:t xml:space="preserve">Steed BE &amp; Burton DA (2015) Field guide to diseases and insects of quaking aspen in the West. Part 1: wood and bark boring insects. USDA, Forest Service, Forest Health Protection, Missoula, USA.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Strand L &amp; Ohlendorf B (2002) Integrated Pest Management for Almonds, 2nd Edition.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UC IPM (2020) Statewide Integrated Pest Management Program, University of California Agriculture and Natural Resources. Retrieved from </w:t>
      </w:r>
      <w:hyperlink r:id="rId542866812e1da83b7" w:history="1">
        <w:r>
          <w:rPr>
            <w:rFonts w:ascii="Calibri" w:hAnsi="Calibri" w:eastAsia="Calibri" w:cs="Calibri"/>
            <w:color w:val="0000CC"/>
            <w:sz w:val="22"/>
            <w:szCs w:val="22"/>
            <w:u w:val="single"/>
          </w:rPr>
          <w:t xml:space="preserve">http://ipm.ucanr.edu/</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Wiman N, Andrews H, Mugica A, Rudolph E &amp; Chase T (2019) Pacific Flatheaded Borer Ecology and Knowledge Gaps in western Oregon orchard crops. In Flatheaded Borer Workshop, p. 28. Tennessee State University, McMinnville, USA, July 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2021. The expert working group was composed of N. Avendaño Garcia (Tecnologias y Servicios Agrarios, TRAGSATEC, Spain), N. Björklund (Swedish University of Agricultural Sciences, SE), C. Gent (Defra, GB), S. Hannunen (Finnish Food Safety Authority, FI), A. Korycinska H. (Defra, GB), J. Oliver (Tennessee State University, USA), D.J. van der Gaag (NPPO,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EPPO datasheets on pests recommended for regulation. Available online. </w:t>
      </w:r>
      <w:hyperlink r:id="rId143166812e1da84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EPPO Data sheets on pests recommended for regulation. </w:t>
      </w: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 35-40. </w:t>
      </w:r>
      <w:hyperlink r:id="rId619866812e1da8569" w:history="1">
        <w:r>
          <w:rPr>
            <w:rFonts w:ascii="Calibri" w:hAnsi="Calibri" w:eastAsia="Calibri" w:cs="Calibri"/>
            <w:color w:val="0000CC"/>
            <w:sz w:val="22"/>
            <w:szCs w:val="22"/>
            <w:u w:val="single"/>
          </w:rPr>
          <w:t xml:space="preserve">https://doi.org/10.1111/epp.12992</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809317">
    <w:multiLevelType w:val="hybridMultilevel"/>
    <w:lvl w:ilvl="0" w:tplc="76220300">
      <w:start w:val="1"/>
      <w:numFmt w:val="decimal"/>
      <w:lvlText w:val="%1."/>
      <w:lvlJc w:val="left"/>
      <w:pPr>
        <w:ind w:left="720" w:hanging="360"/>
      </w:pPr>
    </w:lvl>
    <w:lvl w:ilvl="1" w:tplc="76220300" w:tentative="1">
      <w:start w:val="1"/>
      <w:numFmt w:val="lowerLetter"/>
      <w:lvlText w:val="%2."/>
      <w:lvlJc w:val="left"/>
      <w:pPr>
        <w:ind w:left="1440" w:hanging="360"/>
      </w:pPr>
    </w:lvl>
    <w:lvl w:ilvl="2" w:tplc="76220300" w:tentative="1">
      <w:start w:val="1"/>
      <w:numFmt w:val="lowerRoman"/>
      <w:lvlText w:val="%3."/>
      <w:lvlJc w:val="right"/>
      <w:pPr>
        <w:ind w:left="2160" w:hanging="180"/>
      </w:pPr>
    </w:lvl>
    <w:lvl w:ilvl="3" w:tplc="76220300" w:tentative="1">
      <w:start w:val="1"/>
      <w:numFmt w:val="decimal"/>
      <w:lvlText w:val="%4."/>
      <w:lvlJc w:val="left"/>
      <w:pPr>
        <w:ind w:left="2880" w:hanging="360"/>
      </w:pPr>
    </w:lvl>
    <w:lvl w:ilvl="4" w:tplc="76220300" w:tentative="1">
      <w:start w:val="1"/>
      <w:numFmt w:val="lowerLetter"/>
      <w:lvlText w:val="%5."/>
      <w:lvlJc w:val="left"/>
      <w:pPr>
        <w:ind w:left="3600" w:hanging="360"/>
      </w:pPr>
    </w:lvl>
    <w:lvl w:ilvl="5" w:tplc="76220300" w:tentative="1">
      <w:start w:val="1"/>
      <w:numFmt w:val="lowerRoman"/>
      <w:lvlText w:val="%6."/>
      <w:lvlJc w:val="right"/>
      <w:pPr>
        <w:ind w:left="4320" w:hanging="180"/>
      </w:pPr>
    </w:lvl>
    <w:lvl w:ilvl="6" w:tplc="76220300" w:tentative="1">
      <w:start w:val="1"/>
      <w:numFmt w:val="decimal"/>
      <w:lvlText w:val="%7."/>
      <w:lvlJc w:val="left"/>
      <w:pPr>
        <w:ind w:left="5040" w:hanging="360"/>
      </w:pPr>
    </w:lvl>
    <w:lvl w:ilvl="7" w:tplc="76220300" w:tentative="1">
      <w:start w:val="1"/>
      <w:numFmt w:val="lowerLetter"/>
      <w:lvlText w:val="%8."/>
      <w:lvlJc w:val="left"/>
      <w:pPr>
        <w:ind w:left="5760" w:hanging="360"/>
      </w:pPr>
    </w:lvl>
    <w:lvl w:ilvl="8" w:tplc="76220300" w:tentative="1">
      <w:start w:val="1"/>
      <w:numFmt w:val="lowerRoman"/>
      <w:lvlText w:val="%9."/>
      <w:lvlJc w:val="right"/>
      <w:pPr>
        <w:ind w:left="6480" w:hanging="180"/>
      </w:pPr>
    </w:lvl>
  </w:abstractNum>
  <w:abstractNum w:abstractNumId="39809316">
    <w:multiLevelType w:val="hybridMultilevel"/>
    <w:lvl w:ilvl="0" w:tplc="30246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09316">
    <w:abstractNumId w:val="39809316"/>
  </w:num>
  <w:num w:numId="39809317">
    <w:abstractNumId w:val="398093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067234" Type="http://schemas.microsoft.com/office/2011/relationships/commentsExtended" Target="commentsExtended.xml"/><Relationship Id="rId492343493" Type="http://schemas.microsoft.com/office/2011/relationships/people" Target="people.xml"/><Relationship Id="rId956366812e1da53c9" Type="http://schemas.openxmlformats.org/officeDocument/2006/relationships/hyperlink" Target="https://gd.eppo.int/taxon/CHRBMA/" TargetMode="External"/><Relationship Id="rId491666812e1da540f" Type="http://schemas.openxmlformats.org/officeDocument/2006/relationships/hyperlink" Target="https://gd.eppo.int/taxon/CHRBMA/categorization" TargetMode="External"/><Relationship Id="rId332066812e1da7eb1" Type="http://schemas.openxmlformats.org/officeDocument/2006/relationships/hyperlink" Target="https://organicfarmermag.com/2020/07/controlling-pacific-flathead-borer-in-agricultural-crops/" TargetMode="External"/><Relationship Id="rId707966812e1da7f7b" Type="http://schemas.openxmlformats.org/officeDocument/2006/relationships/hyperlink" Target="https://gd.eppo.int/taxon/CHRBFE/documents" TargetMode="External"/><Relationship Id="rId145066812e1da7fdc" Type="http://schemas.openxmlformats.org/officeDocument/2006/relationships/hyperlink" Target="https://www.ippc.int/en/core-activities/standards-setting/ispms/" TargetMode="External"/><Relationship Id="rId349866812e1da803c" Type="http://schemas.openxmlformats.org/officeDocument/2006/relationships/hyperlink" Target="https://ipmdata.ipmcenters.org/documents/cropprofiles/CAapples.pdf" TargetMode="External"/><Relationship Id="rId344766812e1da807a" Type="http://schemas.openxmlformats.org/officeDocument/2006/relationships/hyperlink" Target="https://ipmdata.ipmcenters.org/documents/cropprofiles/ORpears.pdf" TargetMode="External"/><Relationship Id="rId225566812e1da80b8" Type="http://schemas.openxmlformats.org/officeDocument/2006/relationships/hyperlink" Target="https://ipmdata.ipmcenters.org/documents/cropprofiles/CAalmonds.pdf" TargetMode="External"/><Relationship Id="rId362566812e1da80f6" Type="http://schemas.openxmlformats.org/officeDocument/2006/relationships/hyperlink" Target="https://ipmdata.ipmcenters.org/documents/cropprofiles/CAprunes.pdf" TargetMode="External"/><Relationship Id="rId179666812e1da8134" Type="http://schemas.openxmlformats.org/officeDocument/2006/relationships/hyperlink" Target="https://ipmdata.ipmcenters.org/documents/pmsps/2018PRUNEPMSP.pdf" TargetMode="External"/><Relationship Id="rId125166812e1da8154" Type="http://schemas.openxmlformats.org/officeDocument/2006/relationships/hyperlink" Target="https://onlinelibrary.wiley.com/action/getFTRLinkout?url=http%3A%2F%2Fscholar.google.com%2Fscholar%3Fhl%3Den%26q%3D%2BIPM%2BCenters%2BCrop%2BProfiles%2B%25282018%2529%2BA%2Bpest%2Bmanagement%2Bstrategic%2Bplan%2Bfor%2BCalifornia%2Bprune%2Bproduction%2Bhttps%253A%252F%252Fipmdata.ipmcenters.org%252Fdocuments%252Fpmsps%252F2018PRUNEPMSP.pdf&amp;doi=10.1111%2Fepp.12992&amp;linkType=gs&amp;linkLocation=Reference&amp;linkSource=FULL_TEXT" TargetMode="External"/><Relationship Id="rId116966812e1da81ad" Type="http://schemas.openxmlformats.org/officeDocument/2006/relationships/hyperlink" Target="https://onlinelibrary.wiley.com/action/getFTRLinkout?url=http%3A%2F%2Fscholar.google.com%2Fscholar%3Fhl%3Den%26q%3DKeyes%2BT%252C%2BAndrews%2BH%252C%2BRudolph%2BE%252C%2BMugica%2BA%2B%2526%2BWiman%2BN%2B%25282020%2529%2BBiology%2Band%2BMorphometrics%2Bof%2Bthe%2BPacific%2BFlatheaded%2BBorer.%2BIn%2B94th%2BAnnual%2BOrchard%2BPest%2B%2526%2BDisease%2BManagement%2BConference%252C%2Bp.%2B44.%2BHilton%2BPortland%252C%2BPortland%252C%2BOregon%2BJanuary%2B8%25E2%2580%259010.%2BOPDMC.&amp;doi=10.1111%2Fepp.12992&amp;linkType=gs&amp;linkLocation=Reference&amp;linkSource=FULL_TEXT" TargetMode="External"/><Relationship Id="rId124866812e1da8238" Type="http://schemas.openxmlformats.org/officeDocument/2006/relationships/hyperlink" Target="https://pnwhandbooks.org/" TargetMode="External"/><Relationship Id="rId601066812e1da8297" Type="http://schemas.openxmlformats.org/officeDocument/2006/relationships/hyperlink" Target="https://www.wcngg.com/2019/11/04/increasing-evidence-of-pacific-flatheaded-borer-attack-in-walnut-orchards-in-california" TargetMode="External"/><Relationship Id="rId876866812e1da82d6" Type="http://schemas.openxmlformats.org/officeDocument/2006/relationships/hyperlink" Target="https://ucanr.edu/sites/cawalnut/files/319307.pdf" TargetMode="External"/><Relationship Id="rId862466812e1da8352" Type="http://schemas.openxmlformats.org/officeDocument/2006/relationships/hyperlink" Target="https://onlinelibrary.wiley.com/action/getFTRLinkout?url=http%3A%2F%2Fscholar.google.com%2Fscholar_lookup%3Fhl%3Den%26publication_year%3D1995%26pages%3D213-584%26author%3DJD%2BSolomon%26title%3DGuide%2Bto%2BInsect%2BBorers%2Bin%2BNorth%2BAmerican%2BBroadleaf%2BTrees%2Band%2BShrubs&amp;doi=10.1111%2Fepp.12992&amp;linkType=gs&amp;linkLocation=Reference&amp;linkSource=FULL_TEXT" TargetMode="External"/><Relationship Id="rId542866812e1da83b7" Type="http://schemas.openxmlformats.org/officeDocument/2006/relationships/hyperlink" Target="http://ipm.ucanr.edu/" TargetMode="External"/><Relationship Id="rId143166812e1da8499" Type="http://schemas.openxmlformats.org/officeDocument/2006/relationships/hyperlink" Target="https://gd.eppo.int" TargetMode="External"/><Relationship Id="rId619866812e1da8569" Type="http://schemas.openxmlformats.org/officeDocument/2006/relationships/hyperlink" Target="https://doi.org/10.1111/epp.12992" TargetMode="External"/><Relationship Id="rId923666812e1da6db5" Type="http://schemas.openxmlformats.org/officeDocument/2006/relationships/image" Target="media/imgrId923666812e1da6db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