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insidiosus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insidiosus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(McCulloch)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insidiosum</w:t>
            </w:r>
            <w:r>
              <w:rPr>
                <w:rFonts w:ascii="Calibri" w:hAnsi="Calibri" w:eastAsia="Calibri" w:cs="Calibri"/>
                <w:color w:val="000000"/>
                <w:position w:val="-3"/>
                <w:sz w:val="22"/>
                <w:szCs w:val="22"/>
              </w:rPr>
              <w:t xml:space="preserve"> McCulloch, </w:t>
            </w:r>
            <w:r>
              <w:rPr>
                <w:rFonts w:ascii="Calibri" w:hAnsi="Calibri" w:eastAsia="Calibri" w:cs="Calibri"/>
                <w:i/>
                <w:iCs/>
                <w:color w:val="000000"/>
                <w:position w:val="-3"/>
                <w:sz w:val="22"/>
                <w:szCs w:val="22"/>
              </w:rPr>
              <w:t xml:space="preserve">Clavibacter michiganensis subsp. insidiosus</w:t>
            </w:r>
            <w:r>
              <w:rPr>
                <w:rFonts w:ascii="Calibri" w:hAnsi="Calibri" w:eastAsia="Calibri" w:cs="Calibri"/>
                <w:color w:val="000000"/>
                <w:position w:val="-3"/>
                <w:sz w:val="22"/>
                <w:szCs w:val="22"/>
              </w:rPr>
              <w:t xml:space="preserve"> (McCulloch) Davis et al., </w:t>
            </w:r>
            <w:r>
              <w:rPr>
                <w:rFonts w:ascii="Calibri" w:hAnsi="Calibri" w:eastAsia="Calibri" w:cs="Calibri"/>
                <w:i/>
                <w:iCs/>
                <w:color w:val="000000"/>
                <w:position w:val="-3"/>
                <w:sz w:val="22"/>
                <w:szCs w:val="22"/>
              </w:rPr>
              <w:t xml:space="preserve">Corynebacterium insidiosum</w:t>
            </w:r>
            <w:r>
              <w:rPr>
                <w:rFonts w:ascii="Calibri" w:hAnsi="Calibri" w:eastAsia="Calibri" w:cs="Calibri"/>
                <w:color w:val="000000"/>
                <w:position w:val="-3"/>
                <w:sz w:val="22"/>
                <w:szCs w:val="22"/>
              </w:rPr>
              <w:t xml:space="preserve"> (McCulloch) Jensen, </w:t>
            </w:r>
            <w:r>
              <w:rPr>
                <w:rFonts w:ascii="Calibri" w:hAnsi="Calibri" w:eastAsia="Calibri" w:cs="Calibri"/>
                <w:i/>
                <w:iCs/>
                <w:color w:val="000000"/>
                <w:position w:val="-3"/>
                <w:sz w:val="22"/>
                <w:szCs w:val="22"/>
              </w:rPr>
              <w:t xml:space="preserve">Corynebacterium michiganense pv. insidiosum</w:t>
            </w:r>
            <w:r>
              <w:rPr>
                <w:rFonts w:ascii="Calibri" w:hAnsi="Calibri" w:eastAsia="Calibri" w:cs="Calibri"/>
                <w:color w:val="000000"/>
                <w:position w:val="-3"/>
                <w:sz w:val="22"/>
                <w:szCs w:val="22"/>
              </w:rPr>
              <w:t xml:space="preserve"> (McCulloch) Dye &amp; Kemp</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lucerne, bacterial root rot of lucerne, bacterial wilt of lucerne, vascular wilt of lucerne</w:t>
            </w:r>
            <w:hyperlink r:id="rId2059673fcac1bb6c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601673fcac1bb74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151330" name="name8242673fcac1bbe67" descr="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9.jpg"/>
                          <pic:cNvPicPr/>
                        </pic:nvPicPr>
                        <pic:blipFill>
                          <a:blip r:embed="rId4935673fcac1bbe65" cstate="print"/>
                          <a:stretch>
                            <a:fillRect/>
                          </a:stretch>
                        </pic:blipFill>
                        <pic:spPr>
                          <a:xfrm>
                            <a:off x="0" y="0"/>
                            <a:ext cx="2160000" cy="1281600"/>
                          </a:xfrm>
                          <a:prstGeom prst="rect">
                            <a:avLst/>
                          </a:prstGeom>
                          <a:ln w="0">
                            <a:noFill/>
                          </a:ln>
                        </pic:spPr>
                      </pic:pic>
                    </a:graphicData>
                  </a:graphic>
                </wp:inline>
              </w:drawing>
            </w:r>
            <w:hyperlink r:id="rId5652673fcac1bbf6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1984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proposed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and moved several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into this new genus. This movement changed the name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into </w:t>
      </w:r>
      <w:r>
        <w:rPr>
          <w:rFonts w:ascii="Calibri" w:hAnsi="Calibri" w:eastAsia="Calibri" w:cs="Calibri"/>
          <w:i/>
          <w:iCs/>
          <w:color w:val="000000"/>
          <w:sz w:val="22"/>
          <w:szCs w:val="22"/>
        </w:rPr>
        <w:t xml:space="preserve">Clavibacter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which was later corrected to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(Zgurskaya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elevated this subspecies to species rank based on whole genome 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or alfalfa).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M. falcata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truncatula</w:t>
      </w:r>
      <w:r>
        <w:rPr>
          <w:rFonts w:ascii="Calibri" w:hAnsi="Calibri" w:eastAsia="Calibri" w:cs="Calibri"/>
          <w:color w:val="000000"/>
          <w:sz w:val="22"/>
          <w:szCs w:val="22"/>
        </w:rPr>
        <w:t xml:space="preserve"> have been reported as natural hosts of this bacterium as well.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also been found on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(Bradbury, 1986;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inoculation,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induce symptoms in several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A report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considered doubtful (Bradbury,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Lucerne plants with symptoms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were first reported in Illinois and Wisconsin in 1924 rapidly followed by reports from other states throughout the USA, indicating that the pathogen was already widespread before this first report (Jones, 1925; Jones and McCulloch, 1926). During the remainder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pathogen was found in the most important lucerne production areas in the USA and Canada, and was also detected in other continents. In several countries with historical findings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the disease no longer occurs (e.g. in Brazil, Canada, South Africa). In the EPPO region, findings were mainly sporadic and since the 1980s, the disease is either no longer found or no significant outbreaks have been reported.</w:t>
      </w:r>
    </w:p>
    <w:p>
      <w:r>
        <w:drawing>
          <wp:inline distT="0" distB="0" distL="0" distR="0">
            <wp:extent cx="6120000" cy="3067200"/>
            <wp:docPr id="61476419" name="name7461673fcac1bd00b" descr="CORB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IN_distribution_map.jpg"/>
                    <pic:cNvPicPr/>
                  </pic:nvPicPr>
                  <pic:blipFill>
                    <a:blip r:embed="rId9124673fcac1bd0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Lithuania, Poland, Russia (Central Russia, Southern Russia), Tunisia,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Kazakhstan, Saudi Arabia, Turkmenistan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Iowa, Kansas, Kentucky, Maryland, Minnesota, Montana, Nebraska, Nevada, New York, North Dakota, Ohio, Oklahoma, Oregon, South Dakota, Texas, Utah, Washington,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enter its host through wounds, such as mowing wounds, wounds caused by freezing and thawing, or feeding wounds caused by nematodes or insects.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usually spreads from plant to plant in water. Following entry into the plant, the bacterium is able to spread rapidly through the vascular system.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thought to be primarily a disease of the perennial plant parts and as such it colonizes the taproot and crown of lucerne plants. From there it can spread to newly formed stems (EFSA, 2014; Hunt, 1971;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In inoculation experiments, symptoms can be observed after three weeks (Hale, 1972). In the field, the disease is rarely observed in one year old plants. In the second year after sowing, symptoms may become visible on the above ground parts but it usually takes three years for a field to become severely affected (Koehler and Jones, 1932). In the laboratory and on solid growing media,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grows best at 23 °C, but in the field disease incidence has been shown to be greater at 16 °C compared to 24°C and 28°C. Abundant soil moisture aids the progress of the disease (EFSA, 2014;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Overwintering generally occurs in the roots and crowns of diseased plants. Bacteria remain viable for 10 years in lucerne stems stored at 20-25°C, but they survive only poorly in non-sterile soils (Carroll and Lukezic, 1971; Cormack, 1961; Koehler and Jones, 1932).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lucerne crops, symptomatic plants may be scattered throughout the field or found in patches. Lower wetter parts of the field are often affected first. Symptoms are often inconspicuous in the first year and affect the lucerne crop rather uniformly, hence the 'insidious' species name. Mild symptoms include leaf-mottling and cupping or upward curling of leaf margins, with some reduction in plant height. Moderate infection additionally leads to a proliferation of the stems, giving a witches' broom effect. In severe infections, young plants or newly formed stems are only a few centimeters high, have thin and spindly stems, leaflets are small and thicker, often distorted and show marginal or entire bleaching, and ultimately plants usually die. In the field, severely affected plants can be easily spotted due to their yellow green color and stunted growth. When drought stress occurs, infected plants only show enhanced wilting, compared to healthy plants. In the absence of, or in addition to aerial symptoms, there is a yellow to pale-brown discoloration of the young woody root tissue at the junction of the cortex and vascular cylinder. This is visible when peeling off the cortex or cutting the tap-root (Close and Mulcock, 1972; Jones, 1925; Jones and McCulloch, 1926; Koehler and Jones, 1932).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is an aerobic, Gram-positive, capsulated, non-motile rod, 0.4-0.5 x 0.7-1.0 µm, which does not produce chains. Agar colonies are generally pale-yellow, round or amorphous, smooth, glistening, flat or slightly raised. Characteristic blue pigment granules occur irregularly in cultures on media high in available sugars after 6-8 days at 21°C. DNA G+C content of the type strain (LMG 3663</w:t>
      </w:r>
      <w:r>
        <w:rPr>
          <w:rFonts w:ascii="Calibri" w:hAnsi="Calibri" w:eastAsia="Calibri" w:cs="Calibri"/>
          <w:color w:val="000000"/>
          <w:position w:val="4"/>
          <w:sz w:val="22"/>
          <w:szCs w:val="22"/>
          <w:vertAlign w:val="superscript"/>
        </w:rPr>
        <w:t xml:space="preserve">T</w:t>
      </w:r>
      <w:r>
        <w:rPr>
          <w:rFonts w:ascii="Calibri" w:hAnsi="Calibri" w:eastAsia="Calibri" w:cs="Calibri"/>
          <w:color w:val="000000"/>
          <w:sz w:val="22"/>
          <w:szCs w:val="22"/>
        </w:rPr>
        <w:t xml:space="preserve">) is 72.7% (Close and Mulcock, 1972;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Mcculloch, 1925).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on diagnostics PM 7/99 (2) (EPPO, 2022) provides comprehensive information on the available methods for detecting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both symptomatic plant material and seeds. It also provides information on isolation and identification methods. Laboratory analysis should be performed on cut sections of the main root or on seeds. For detection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with immunofluorescence, two antisera are suggested and some performance characteristics are provided. For detection with PCR, two conventional PCR tests (Samac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two real-time PCR tests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are suggested, with the conventional PCR by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being suggested only for plant material and not for seed testing. In addition to these immunofluorescence and PCR tests, DNA barcoding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BOX-PCR (Louws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MALDI-TOF MS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can be used for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spread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mainly occurs through the movement of water (or water droplets) containing the pathogen. The spread by contaminated machinery and especially mowers appears to be important. Mowing lucerne crops when the foliage is wet creates ideal conditions for bacterial dissemination since both infected and non-infected plants are wounded and the mower spreads infected plant material and contaminated water droplets over the field (Jones and McCulloch, 1926; Koehler and Jones, 1932; University of Illinois Department of Crop Sciences, 1988). There have also been reports of local spread by insects and nematodes, and the presence of nematodes in the field favors infection (Hawn, 1963; Hunt, 1971; Kůdela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occur through contaminated seed lots.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be present on particles present in the seed lot (e.g. plant debris), on the surface of the seeds or inside the seeds. The exact role of these seed contaminations in new outbreaks is uncertain as data on the transmission of the bacterium from seed to seedling is generally missing. In experiments, the percentage of symptomatic plants that transmitted the bacterium to its seeds was 7%, which is relatively low (EFSA, 2014;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caused serious damage with major economic impact on lucerne crops in countries including the USA, Canada and New Zealand (Hale and Close, 1974; Koehler and Jones, 1932; Peake and Cormack, 1955). However, at the moment in most parts of the world the presence of the pathogen is limited and its impact is strongly reduced. Canada is now free of the pathogen and in the USA major impact is no longer observed. In the European Union the impact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also low. In Australia growers have reported that even infected fields remain highly productive (Ophel-Keller, 2005). However, in some parts of the world, e.g. Iran, the pathogen still caused damage in lucerne fields (Heidari and Khodakaramian,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strategy to control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the use of resistant lucerne cultivars. In the USA and Canada such cultivars have already been available for decades and their use has probably led to the strong reduction of damage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Europe, lucerne cultivars with reduced susceptibility have also been developed (EFSA, 2014; Kozová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Víchová and Kozová, 2004). Other practices that can help to reduce the risk of damage due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are: avoiding poorly drained soils, harvesting young stands before old ones, harvesting fields with symptoms last, steam cleaning equipment with steam between fields, mowing only when foliage is dry, growing other crops for two or three years before reseeding lucerne, reducing injuries to crowns, and using pathogen-free seed from regions where the bacterium is absent (EFSA, 2014; University of Illinois Department of Crop Sciences,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not been reported in most EPPO countries where lucerne is grown, even though there are suitable climate and soil conditions in these areas. The use of resistant cultivars and strict phytosanitary measure have likely strongly reduced the risk of spread and establishment of this pathogen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come from areas known to be free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Seeds of lucerne from areas where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occurs should come from a field which, along with adjacent fields, was found free from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during the last growing season, and where no lucerne was grown during the 3 years prior to the sowing of this crop. Alternatively, seeds should come from cultivars which are considered highly resistant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(EPPO,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Farnham Royal, Slough, UK, CAB International, 332 pp.</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RB &amp; Lukezic FL (1971) Preservation of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in a sterile soil mix without loss of virulence.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688-690.</w:t>
      </w:r>
    </w:p>
    <w:p>
      <w:pPr>
        <w:widowControl w:val="on"/>
        <w:pBdr/>
        <w:spacing w:before="220" w:after="220" w:line="240" w:lineRule="auto"/>
        <w:ind w:left="0" w:right="0"/>
        <w:jc w:val="left"/>
      </w:pPr>
      <w:r>
        <w:rPr>
          <w:rFonts w:ascii="Calibri" w:hAnsi="Calibri" w:eastAsia="Calibri" w:cs="Calibri"/>
          <w:color w:val="000000"/>
          <w:sz w:val="22"/>
          <w:szCs w:val="22"/>
        </w:rPr>
        <w:t xml:space="preserve">Close R &amp; Mulcock AP (1972) Bacterial wilt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of lucerne in New Zealand.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141-148.</w:t>
      </w:r>
    </w:p>
    <w:p>
      <w:pPr>
        <w:widowControl w:val="on"/>
        <w:pBdr/>
        <w:spacing w:before="220" w:after="220" w:line="240" w:lineRule="auto"/>
        <w:ind w:left="0" w:right="0"/>
        <w:jc w:val="left"/>
      </w:pPr>
      <w:r>
        <w:rPr>
          <w:rFonts w:ascii="Calibri" w:hAnsi="Calibri" w:eastAsia="Calibri" w:cs="Calibri"/>
          <w:color w:val="000000"/>
          <w:sz w:val="22"/>
          <w:szCs w:val="22"/>
        </w:rPr>
        <w:t xml:space="preserve">Cormack MW (1961) Longevity of the bacterial wilt organism in alfalfa hay, pod debris, and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260-261.</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Harris RW (1984)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3910. </w:t>
      </w:r>
      <w:hyperlink r:id="rId1171673fcac1bdd9c" w:history="1">
        <w:r>
          <w:rPr>
            <w:rFonts w:ascii="Calibri" w:hAnsi="Calibri" w:eastAsia="Calibri" w:cs="Calibri"/>
            <w:color w:val="0000CC"/>
            <w:sz w:val="22"/>
            <w:szCs w:val="22"/>
            <w:u w:val="single"/>
          </w:rPr>
          <w:t xml:space="preserve">https://doi.org/10.2903/j.efsa.2014.3910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Evaluation of the Regulated Non-Quarantine Pest (RNQP) status for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Available at </w:t>
      </w:r>
      <w:hyperlink r:id="rId7698673fcac1bde22" w:history="1">
        <w:r>
          <w:rPr>
            <w:rFonts w:ascii="Calibri" w:hAnsi="Calibri" w:eastAsia="Calibri" w:cs="Calibri"/>
            <w:color w:val="0000CC"/>
            <w:sz w:val="22"/>
            <w:szCs w:val="22"/>
            <w:u w:val="single"/>
          </w:rPr>
          <w:t xml:space="preserve">https://pra.eppo.int/pra/8a8b3bad-4c8d-4f07-9884-a91562a340fd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7/99 (2)</w:t>
      </w:r>
      <w:r>
        <w:rPr>
          <w:rFonts w:ascii="Calibri" w:hAnsi="Calibri" w:eastAsia="Calibri" w:cs="Calibri"/>
          <w:i/>
          <w:iCs/>
          <w:color w:val="000000"/>
          <w:sz w:val="22"/>
          <w:szCs w:val="22"/>
        </w:rPr>
        <w:t xml:space="preserve"> Clavibacter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67-86.</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(1972) Rapid identification methods for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149-154.</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&amp; Close RC (1974) A survey of the occurrence of bacterial wilt of lucerne in New Zealand. </w:t>
      </w:r>
      <w:r>
        <w:rPr>
          <w:rFonts w:ascii="Calibri" w:hAnsi="Calibri" w:eastAsia="Calibri" w:cs="Calibri"/>
          <w:i/>
          <w:iCs/>
          <w:color w:val="000000"/>
          <w:sz w:val="22"/>
          <w:szCs w:val="22"/>
        </w:rPr>
        <w:t xml:space="preserve">New Zealand Journal of Experimental Agriculture </w:t>
      </w:r>
      <w:r>
        <w:rPr>
          <w:rFonts w:ascii="Calibri" w:hAnsi="Calibri" w:eastAsia="Calibri" w:cs="Calibri"/>
          <w:b/>
          <w:bCs/>
          <w:color w:val="000000"/>
          <w:sz w:val="22"/>
          <w:szCs w:val="22"/>
        </w:rPr>
        <w:t xml:space="preserve">2, </w:t>
      </w:r>
      <w:r>
        <w:rPr>
          <w:rFonts w:ascii="Calibri" w:hAnsi="Calibri" w:eastAsia="Calibri" w:cs="Calibri"/>
          <w:color w:val="000000"/>
          <w:sz w:val="22"/>
          <w:szCs w:val="22"/>
        </w:rPr>
        <w:t xml:space="preserve">75-77.</w:t>
      </w:r>
    </w:p>
    <w:p>
      <w:pPr>
        <w:widowControl w:val="on"/>
        <w:pBdr/>
        <w:spacing w:before="220" w:after="220" w:line="240" w:lineRule="auto"/>
        <w:ind w:left="0" w:right="0"/>
        <w:jc w:val="left"/>
      </w:pPr>
      <w:r>
        <w:rPr>
          <w:rFonts w:ascii="Calibri" w:hAnsi="Calibri" w:eastAsia="Calibri" w:cs="Calibri"/>
          <w:color w:val="000000"/>
          <w:sz w:val="22"/>
          <w:szCs w:val="22"/>
        </w:rPr>
        <w:t xml:space="preserve">Hawn EJ (1963) Transmission of bacterial wilt of alfalfa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9, </w:t>
      </w:r>
      <w:r>
        <w:rPr>
          <w:rFonts w:ascii="Calibri" w:hAnsi="Calibri" w:eastAsia="Calibri" w:cs="Calibri"/>
          <w:color w:val="000000"/>
          <w:sz w:val="22"/>
          <w:szCs w:val="22"/>
        </w:rPr>
        <w:t xml:space="preserve">65-68.</w:t>
      </w:r>
    </w:p>
    <w:p>
      <w:pPr>
        <w:widowControl w:val="on"/>
        <w:pBdr/>
        <w:spacing w:before="220" w:after="220" w:line="240" w:lineRule="auto"/>
        <w:ind w:left="0" w:right="0"/>
        <w:jc w:val="left"/>
      </w:pPr>
      <w:r>
        <w:rPr>
          <w:rFonts w:ascii="Calibri" w:hAnsi="Calibri" w:eastAsia="Calibri" w:cs="Calibri"/>
          <w:color w:val="000000"/>
          <w:sz w:val="22"/>
          <w:szCs w:val="22"/>
        </w:rPr>
        <w:t xml:space="preserve">Heidari A &amp; Khodakaramian G (2012) Comparison of pathogenicity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viridiflava</w:t>
      </w:r>
      <w:r>
        <w:rPr>
          <w:rFonts w:ascii="Calibri" w:hAnsi="Calibri" w:eastAsia="Calibri" w:cs="Calibri"/>
          <w:color w:val="000000"/>
          <w:sz w:val="22"/>
          <w:szCs w:val="22"/>
        </w:rPr>
        <w:t xml:space="preserve"> strains on alfalfa. </w:t>
      </w:r>
      <w:r>
        <w:rPr>
          <w:rFonts w:ascii="Calibri" w:hAnsi="Calibri" w:eastAsia="Calibri" w:cs="Calibri"/>
          <w:i/>
          <w:iCs/>
          <w:color w:val="000000"/>
          <w:sz w:val="22"/>
          <w:szCs w:val="22"/>
        </w:rPr>
        <w:t xml:space="preserve">Archives of Phytopathology and Plant Protection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922-931.</w:t>
      </w:r>
    </w:p>
    <w:p>
      <w:pPr>
        <w:widowControl w:val="on"/>
        <w:pBdr/>
        <w:spacing w:before="220" w:after="220" w:line="240" w:lineRule="auto"/>
        <w:ind w:left="0" w:right="0"/>
        <w:jc w:val="left"/>
      </w:pPr>
      <w:r>
        <w:rPr>
          <w:rFonts w:ascii="Calibri" w:hAnsi="Calibri" w:eastAsia="Calibri" w:cs="Calibri"/>
          <w:color w:val="000000"/>
          <w:sz w:val="22"/>
          <w:szCs w:val="22"/>
        </w:rPr>
        <w:t xml:space="preserve">Hunt OJ (1971) The effects of root knot nematodes on bacterial wilt in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(1925) A new bacterial disease of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243-244.</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&amp; McCulloch L (1926) A bacterial wilt and root rot of alfalfa caused by</w:t>
      </w:r>
      <w:r>
        <w:rPr>
          <w:rFonts w:ascii="Calibri" w:hAnsi="Calibri" w:eastAsia="Calibri" w:cs="Calibri"/>
          <w:i/>
          <w:iCs/>
          <w:color w:val="000000"/>
          <w:sz w:val="22"/>
          <w:szCs w:val="22"/>
        </w:rPr>
        <w:t xml:space="preserve"> Aplanobacter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493-521.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&amp; Jones FR (1932) Alfalfa wilt as influenced by soil temperature and soil moisture. </w:t>
      </w:r>
      <w:r>
        <w:rPr>
          <w:rFonts w:ascii="Calibri" w:hAnsi="Calibri" w:eastAsia="Calibri" w:cs="Calibri"/>
          <w:i/>
          <w:iCs/>
          <w:color w:val="000000"/>
          <w:sz w:val="22"/>
          <w:szCs w:val="22"/>
        </w:rPr>
        <w:t xml:space="preserve">University of Illinois Agricultural Experiment Station Bulletin </w:t>
      </w:r>
      <w:r>
        <w:rPr>
          <w:rFonts w:ascii="Calibri" w:hAnsi="Calibri" w:eastAsia="Calibri" w:cs="Calibri"/>
          <w:b/>
          <w:bCs/>
          <w:color w:val="000000"/>
          <w:sz w:val="22"/>
          <w:szCs w:val="22"/>
        </w:rPr>
        <w:t xml:space="preserve">378</w:t>
      </w:r>
      <w:r>
        <w:rPr>
          <w:rFonts w:ascii="Calibri" w:hAnsi="Calibri" w:eastAsia="Calibri" w:cs="Calibri"/>
          <w:color w:val="000000"/>
          <w:sz w:val="22"/>
          <w:szCs w:val="22"/>
        </w:rPr>
        <w:t xml:space="preserve">, 58 pp.</w:t>
      </w:r>
    </w:p>
    <w:p>
      <w:pPr>
        <w:widowControl w:val="on"/>
        <w:pBdr/>
        <w:spacing w:before="220" w:after="220" w:line="240" w:lineRule="auto"/>
        <w:ind w:left="0" w:right="0"/>
        <w:jc w:val="left"/>
      </w:pPr>
      <w:r>
        <w:rPr>
          <w:rFonts w:ascii="Calibri" w:hAnsi="Calibri" w:eastAsia="Calibri" w:cs="Calibri"/>
          <w:color w:val="000000"/>
          <w:sz w:val="22"/>
          <w:szCs w:val="22"/>
        </w:rPr>
        <w:t xml:space="preserve">Kozová Z, Víchová J, Babinec J &amp; Vaverka S (2003) The resistance of alfalfa varieties to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Czech Journal of Genetics and Plant Breeding.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272-274.</w:t>
      </w:r>
    </w:p>
    <w:p>
      <w:pPr>
        <w:widowControl w:val="on"/>
        <w:pBdr/>
        <w:spacing w:before="220" w:after="220" w:line="240" w:lineRule="auto"/>
        <w:ind w:left="0" w:right="0"/>
        <w:jc w:val="left"/>
      </w:pPr>
      <w:r>
        <w:rPr>
          <w:rFonts w:ascii="Calibri" w:hAnsi="Calibri" w:eastAsia="Calibri" w:cs="Calibri"/>
          <w:color w:val="000000"/>
          <w:sz w:val="22"/>
          <w:szCs w:val="22"/>
        </w:rPr>
        <w:t xml:space="preserve">Kůdela V, Havlíčková H &amp; Vacke J (1984) </w:t>
      </w:r>
      <w:r>
        <w:rPr>
          <w:rFonts w:ascii="Calibri" w:hAnsi="Calibri" w:eastAsia="Calibri" w:cs="Calibri"/>
          <w:i/>
          <w:iCs/>
          <w:color w:val="000000"/>
          <w:sz w:val="22"/>
          <w:szCs w:val="22"/>
        </w:rPr>
        <w:t xml:space="preserve">Sitona lineatus </w:t>
      </w:r>
      <w:r>
        <w:rPr>
          <w:rFonts w:ascii="Calibri" w:hAnsi="Calibri" w:eastAsia="Calibri" w:cs="Calibri"/>
          <w:color w:val="000000"/>
          <w:sz w:val="22"/>
          <w:szCs w:val="22"/>
        </w:rPr>
        <w:t xml:space="preserve">as a vector of</w:t>
      </w:r>
      <w:r>
        <w:rPr>
          <w:rFonts w:ascii="Calibri" w:hAnsi="Calibri" w:eastAsia="Calibri" w:cs="Calibri"/>
          <w:i/>
          <w:iCs/>
          <w:color w:val="000000"/>
          <w:sz w:val="22"/>
          <w:szCs w:val="22"/>
        </w:rPr>
        <w:t xml:space="preserve"> Corynebacterium michiganense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Sborník ÚVTIZ, Ochrana Rostlin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267-271.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the basis of whole-genome and multi-locus sequence analyses.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Louws FJ, Bell J, Medina-Mora CM, Smart CD, Opgenorth D, Ishimaru CA, Hausbeck MK, de Bruijn FJ &amp; Fulbright DW (1998) rep-PCR-mediated genomic fingerprinting: a rapid and effective method to identify</w:t>
      </w:r>
      <w:r>
        <w:rPr>
          <w:rFonts w:ascii="Calibri" w:hAnsi="Calibri" w:eastAsia="Calibri" w:cs="Calibri"/>
          <w:i/>
          <w:iCs/>
          <w:color w:val="000000"/>
          <w:sz w:val="22"/>
          <w:szCs w:val="22"/>
        </w:rPr>
        <w:t xml:space="preserve"> 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862-868.</w:t>
      </w:r>
    </w:p>
    <w:p>
      <w:pPr>
        <w:widowControl w:val="on"/>
        <w:pBdr/>
        <w:spacing w:before="220" w:after="220" w:line="240" w:lineRule="auto"/>
        <w:ind w:left="0" w:right="0"/>
        <w:jc w:val="left"/>
      </w:pPr>
      <w:r>
        <w:rPr>
          <w:rFonts w:ascii="Calibri" w:hAnsi="Calibri" w:eastAsia="Calibri" w:cs="Calibri"/>
          <w:color w:val="000000"/>
          <w:sz w:val="22"/>
          <w:szCs w:val="22"/>
        </w:rPr>
        <w:t xml:space="preserve">Lu Y, Samac DA, Glazebrook J &amp; Ishimaru CA (2015) Complete genome sequence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R1-1 using PacBio single-molecule real-time technology. </w:t>
      </w:r>
      <w:r>
        <w:rPr>
          <w:rFonts w:ascii="Calibri" w:hAnsi="Calibri" w:eastAsia="Calibri" w:cs="Calibri"/>
          <w:i/>
          <w:iCs/>
          <w:color w:val="000000"/>
          <w:sz w:val="22"/>
          <w:szCs w:val="22"/>
        </w:rPr>
        <w:t xml:space="preserve">Genome Announcements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e00396-15. </w:t>
      </w:r>
      <w:hyperlink r:id="rId9709673fcac1be678" w:history="1">
        <w:r>
          <w:rPr>
            <w:rFonts w:ascii="Calibri" w:hAnsi="Calibri" w:eastAsia="Calibri" w:cs="Calibri"/>
            <w:color w:val="0000CC"/>
            <w:sz w:val="22"/>
            <w:szCs w:val="22"/>
            <w:u w:val="single"/>
          </w:rPr>
          <w:t xml:space="preserve">https://doi.org/10.1128/genomeA.00396-15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Mcculloch L (1925) </w:t>
      </w:r>
      <w:r>
        <w:rPr>
          <w:rFonts w:ascii="Calibri" w:hAnsi="Calibri" w:eastAsia="Calibri" w:cs="Calibri"/>
          <w:i/>
          <w:iCs/>
          <w:color w:val="000000"/>
          <w:sz w:val="22"/>
          <w:szCs w:val="22"/>
        </w:rPr>
        <w:t xml:space="preserve">Aplanobcater insidiosum n. sp. </w:t>
      </w:r>
      <w:r>
        <w:rPr>
          <w:rFonts w:ascii="Calibri" w:hAnsi="Calibri" w:eastAsia="Calibri" w:cs="Calibri"/>
          <w:color w:val="000000"/>
          <w:sz w:val="22"/>
          <w:szCs w:val="22"/>
        </w:rPr>
        <w:t xml:space="preserve">the cause of an alfalfa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496-497.</w:t>
      </w:r>
    </w:p>
    <w:p>
      <w:pPr>
        <w:widowControl w:val="on"/>
        <w:pBdr/>
        <w:spacing w:before="220" w:after="220" w:line="240" w:lineRule="auto"/>
        <w:ind w:left="0" w:right="0"/>
        <w:jc w:val="left"/>
      </w:pPr>
      <w:r>
        <w:rPr>
          <w:rFonts w:ascii="Calibri" w:hAnsi="Calibri" w:eastAsia="Calibri" w:cs="Calibri"/>
          <w:color w:val="000000"/>
          <w:sz w:val="22"/>
          <w:szCs w:val="22"/>
        </w:rPr>
        <w:t xml:space="preserve">Ophel-Keller K (2005) Bacterial wilt of lucerne: A market access issue for lucerne seed growers. </w:t>
      </w:r>
      <w:r>
        <w:rPr>
          <w:rFonts w:ascii="Calibri" w:hAnsi="Calibri" w:eastAsia="Calibri" w:cs="Calibri"/>
          <w:i/>
          <w:iCs/>
          <w:color w:val="000000"/>
          <w:sz w:val="22"/>
          <w:szCs w:val="22"/>
        </w:rPr>
        <w:t xml:space="preserve">Report for the Rural Industries Research and Development Corporation. </w:t>
      </w:r>
      <w:r>
        <w:rPr>
          <w:rFonts w:ascii="Calibri" w:hAnsi="Calibri" w:eastAsia="Calibri" w:cs="Calibri"/>
          <w:color w:val="000000"/>
          <w:sz w:val="22"/>
          <w:szCs w:val="22"/>
        </w:rPr>
        <w:t xml:space="preserve">Publication No. 05/10116 pp.</w:t>
      </w:r>
    </w:p>
    <w:p>
      <w:pPr>
        <w:widowControl w:val="on"/>
        <w:pBdr/>
        <w:spacing w:before="220" w:after="220" w:line="240" w:lineRule="auto"/>
        <w:ind w:left="0" w:right="0"/>
        <w:jc w:val="left"/>
      </w:pPr>
      <w:r>
        <w:rPr>
          <w:rFonts w:ascii="Calibri" w:hAnsi="Calibri" w:eastAsia="Calibri" w:cs="Calibri"/>
          <w:color w:val="000000"/>
          <w:sz w:val="22"/>
          <w:szCs w:val="22"/>
        </w:rPr>
        <w:t xml:space="preserve">Peake RW &amp; Cormack MW (1955) Effect of bacterial wilt on hay yield of irrigated alfalfa. </w:t>
      </w:r>
      <w:r>
        <w:rPr>
          <w:rFonts w:ascii="Calibri" w:hAnsi="Calibri" w:eastAsia="Calibri" w:cs="Calibri"/>
          <w:i/>
          <w:iCs/>
          <w:color w:val="000000"/>
          <w:sz w:val="22"/>
          <w:szCs w:val="22"/>
        </w:rPr>
        <w:t xml:space="preserve">Canadian Journal of Agricultural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202-210.</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Nix RJ &amp; Oleson AE (1998) Transmission frequency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to alfalfa seed and identification of the bacterium by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1362-1367.</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Ophel-Keller K &amp; Caffier D (2017) Detection of plant-pathogenic bacteria in seed and other planting material. Second Edition: 16, Chapter 16: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in alfalfa seeds by M. Fatmi, R. R. Walcott and N. W. Schaad. American Phytopathological Society, 103-107.</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Illinois Department of Crop Sciences (1988) Bacterial wilt of alfalfa. </w:t>
      </w:r>
      <w:r>
        <w:rPr>
          <w:rFonts w:ascii="Calibri" w:hAnsi="Calibri" w:eastAsia="Calibri" w:cs="Calibri"/>
          <w:i/>
          <w:iCs/>
          <w:color w:val="000000"/>
          <w:sz w:val="22"/>
          <w:szCs w:val="22"/>
        </w:rPr>
        <w:t xml:space="preserve">Report on plant disease </w:t>
      </w:r>
      <w:r>
        <w:rPr>
          <w:rFonts w:ascii="Calibri" w:hAnsi="Calibri" w:eastAsia="Calibri" w:cs="Calibri"/>
          <w:b/>
          <w:bCs/>
          <w:color w:val="000000"/>
          <w:sz w:val="22"/>
          <w:szCs w:val="22"/>
        </w:rPr>
        <w:t xml:space="preserve">300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Víchová J &amp; Kozová Z (2004) The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strains and tests of alfalfa varieties for resistance to the wilt pathogen. </w:t>
      </w:r>
      <w:r>
        <w:rPr>
          <w:rFonts w:ascii="Calibri" w:hAnsi="Calibri" w:eastAsia="Calibri" w:cs="Calibri"/>
          <w:i/>
          <w:iCs/>
          <w:color w:val="000000"/>
          <w:sz w:val="22"/>
          <w:szCs w:val="22"/>
        </w:rPr>
        <w:t xml:space="preserve">Journal of Plant Protection Research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147-154.</w:t>
      </w:r>
    </w:p>
    <w:p>
      <w:pPr>
        <w:widowControl w:val="on"/>
        <w:pBdr/>
        <w:spacing w:before="220" w:after="220" w:line="240" w:lineRule="auto"/>
        <w:ind w:left="0" w:right="0"/>
        <w:jc w:val="left"/>
      </w:pPr>
      <w:r>
        <w:rPr>
          <w:rFonts w:ascii="Calibri" w:hAnsi="Calibri" w:eastAsia="Calibri" w:cs="Calibri"/>
          <w:color w:val="000000"/>
          <w:sz w:val="22"/>
          <w:szCs w:val="22"/>
        </w:rPr>
        <w:t xml:space="preserve">Ward LJ, Gourley J &amp; De Boer SH (2008) Molecular detection of </w:t>
      </w:r>
      <w:r>
        <w:rPr>
          <w:rFonts w:ascii="Calibri" w:hAnsi="Calibri" w:eastAsia="Calibri" w:cs="Calibri"/>
          <w:i/>
          <w:iCs/>
          <w:color w:val="000000"/>
          <w:sz w:val="22"/>
          <w:szCs w:val="22"/>
        </w:rPr>
        <w:t xml:space="preserve">Clavibacter michiganenis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in alfalfa seed.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492-497.</w:t>
      </w:r>
    </w:p>
    <w:p>
      <w:pPr>
        <w:widowControl w:val="on"/>
        <w:pBdr/>
        <w:spacing w:before="220" w:after="220" w:line="240" w:lineRule="auto"/>
        <w:ind w:left="0" w:right="0"/>
        <w:jc w:val="left"/>
      </w:pPr>
      <w:r>
        <w:rPr>
          <w:rFonts w:ascii="Calibri" w:hAnsi="Calibri" w:eastAsia="Calibri" w:cs="Calibri"/>
          <w:color w:val="000000"/>
          <w:sz w:val="22"/>
          <w:szCs w:val="22"/>
        </w:rPr>
        <w:t xml:space="preserve">Zaluga J, Heylen K, Van Hoorde K, Hoste B, Van Vaerenbergh J, Maes M &amp; De Vos P (2011) GyrB sequence analysis and MALDI-TOF MS as identification tools for plant pathogenic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400-407.</w:t>
      </w:r>
    </w:p>
    <w:p>
      <w:pPr>
        <w:widowControl w:val="on"/>
        <w:pBdr/>
        <w:spacing w:before="220" w:after="220" w:line="240" w:lineRule="auto"/>
        <w:ind w:left="0" w:right="0"/>
        <w:jc w:val="left"/>
      </w:pPr>
      <w:r>
        <w:rPr>
          <w:rFonts w:ascii="Calibri" w:hAnsi="Calibri" w:eastAsia="Calibri" w:cs="Calibri"/>
          <w:color w:val="000000"/>
          <w:sz w:val="22"/>
          <w:szCs w:val="22"/>
        </w:rPr>
        <w:t xml:space="preserve">Zgurskaya HI, Evtushenko LI, Akimov VN &amp; Kalakoutskii LV (1993) </w:t>
      </w:r>
      <w:r>
        <w:rPr>
          <w:rFonts w:ascii="Calibri" w:hAnsi="Calibri" w:eastAsia="Calibri" w:cs="Calibri"/>
          <w:i/>
          <w:iCs/>
          <w:color w:val="000000"/>
          <w:sz w:val="22"/>
          <w:szCs w:val="22"/>
        </w:rPr>
        <w:t xml:space="preserve">Rathayibacter</w:t>
      </w:r>
      <w:r>
        <w:rPr>
          <w:rFonts w:ascii="Calibri" w:hAnsi="Calibri" w:eastAsia="Calibri" w:cs="Calibri"/>
          <w:color w:val="000000"/>
          <w:sz w:val="22"/>
          <w:szCs w:val="22"/>
        </w:rPr>
        <w:t xml:space="preserve"> gen. nov., including the species </w:t>
      </w:r>
      <w:r>
        <w:rPr>
          <w:rFonts w:ascii="Calibri" w:hAnsi="Calibri" w:eastAsia="Calibri" w:cs="Calibri"/>
          <w:i/>
          <w:iCs/>
          <w:color w:val="000000"/>
          <w:sz w:val="22"/>
          <w:szCs w:val="22"/>
        </w:rPr>
        <w:t xml:space="preserve">Rathayibacter rathayi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tritici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iranicus</w:t>
      </w:r>
      <w:r>
        <w:rPr>
          <w:rFonts w:ascii="Calibri" w:hAnsi="Calibri" w:eastAsia="Calibri" w:cs="Calibri"/>
          <w:color w:val="000000"/>
          <w:sz w:val="22"/>
          <w:szCs w:val="22"/>
        </w:rPr>
        <w:t xml:space="preserve"> comb. nov., and six strains from annual grasses.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143-149.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Robert A.M. Vreeburg and Michiel J.C. Pel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Clavibacter insidiosus</w:t>
      </w:r>
      <w:r>
        <w:rPr>
          <w:rFonts w:ascii="Calibri" w:hAnsi="Calibri" w:eastAsia="Calibri" w:cs="Calibri"/>
          <w:color w:val="000000"/>
          <w:sz w:val="22"/>
          <w:szCs w:val="22"/>
        </w:rPr>
        <w:t xml:space="preserve">. EPPO datasheets on pests recommended for regulation. Available online. </w:t>
      </w:r>
      <w:hyperlink r:id="rId7493673fcac1bec3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insidiosum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5-9. </w:t>
      </w:r>
      <w:hyperlink r:id="rId3894673fcac1bed78" w:history="1">
        <w:r>
          <w:rPr>
            <w:rFonts w:ascii="Calibri" w:hAnsi="Calibri" w:eastAsia="Calibri" w:cs="Calibri"/>
            <w:color w:val="0000CC"/>
            <w:sz w:val="22"/>
            <w:szCs w:val="22"/>
            <w:u w:val="single"/>
          </w:rPr>
          <w:t xml:space="preserve">https://doi.org/10.1111/j.1365-2338.1982.tb01949.x</w:t>
        </w:r>
      </w:hyperlink>
      <w:r>
        <w:rPr>
          <w:rFonts w:ascii="Calibri" w:hAnsi="Calibri" w:eastAsia="Calibri" w:cs="Calibri"/>
          <w:color w:val="000000"/>
          <w:sz w:val="22"/>
          <w:szCs w:val="22"/>
        </w:rPr>
        <w:t xml:space="preserve"> </w:t>
      </w:r>
    </w:p>
    <w:p>
      <w:r>
        <w:drawing>
          <wp:inline distT="0" distB="0" distL="0" distR="0">
            <wp:extent cx="1800000" cy="604800"/>
            <wp:docPr id="67316055" name="name7753673fcac1bef1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98673fcac1bef1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035061">
    <w:multiLevelType w:val="hybridMultilevel"/>
    <w:lvl w:ilvl="0" w:tplc="56478565">
      <w:start w:val="1"/>
      <w:numFmt w:val="decimal"/>
      <w:lvlText w:val="%1."/>
      <w:lvlJc w:val="left"/>
      <w:pPr>
        <w:ind w:left="720" w:hanging="360"/>
      </w:pPr>
    </w:lvl>
    <w:lvl w:ilvl="1" w:tplc="56478565" w:tentative="1">
      <w:start w:val="1"/>
      <w:numFmt w:val="lowerLetter"/>
      <w:lvlText w:val="%2."/>
      <w:lvlJc w:val="left"/>
      <w:pPr>
        <w:ind w:left="1440" w:hanging="360"/>
      </w:pPr>
    </w:lvl>
    <w:lvl w:ilvl="2" w:tplc="56478565" w:tentative="1">
      <w:start w:val="1"/>
      <w:numFmt w:val="lowerRoman"/>
      <w:lvlText w:val="%3."/>
      <w:lvlJc w:val="right"/>
      <w:pPr>
        <w:ind w:left="2160" w:hanging="180"/>
      </w:pPr>
    </w:lvl>
    <w:lvl w:ilvl="3" w:tplc="56478565" w:tentative="1">
      <w:start w:val="1"/>
      <w:numFmt w:val="decimal"/>
      <w:lvlText w:val="%4."/>
      <w:lvlJc w:val="left"/>
      <w:pPr>
        <w:ind w:left="2880" w:hanging="360"/>
      </w:pPr>
    </w:lvl>
    <w:lvl w:ilvl="4" w:tplc="56478565" w:tentative="1">
      <w:start w:val="1"/>
      <w:numFmt w:val="lowerLetter"/>
      <w:lvlText w:val="%5."/>
      <w:lvlJc w:val="left"/>
      <w:pPr>
        <w:ind w:left="3600" w:hanging="360"/>
      </w:pPr>
    </w:lvl>
    <w:lvl w:ilvl="5" w:tplc="56478565" w:tentative="1">
      <w:start w:val="1"/>
      <w:numFmt w:val="lowerRoman"/>
      <w:lvlText w:val="%6."/>
      <w:lvlJc w:val="right"/>
      <w:pPr>
        <w:ind w:left="4320" w:hanging="180"/>
      </w:pPr>
    </w:lvl>
    <w:lvl w:ilvl="6" w:tplc="56478565" w:tentative="1">
      <w:start w:val="1"/>
      <w:numFmt w:val="decimal"/>
      <w:lvlText w:val="%7."/>
      <w:lvlJc w:val="left"/>
      <w:pPr>
        <w:ind w:left="5040" w:hanging="360"/>
      </w:pPr>
    </w:lvl>
    <w:lvl w:ilvl="7" w:tplc="56478565" w:tentative="1">
      <w:start w:val="1"/>
      <w:numFmt w:val="lowerLetter"/>
      <w:lvlText w:val="%8."/>
      <w:lvlJc w:val="left"/>
      <w:pPr>
        <w:ind w:left="5760" w:hanging="360"/>
      </w:pPr>
    </w:lvl>
    <w:lvl w:ilvl="8" w:tplc="56478565" w:tentative="1">
      <w:start w:val="1"/>
      <w:numFmt w:val="lowerRoman"/>
      <w:lvlText w:val="%9."/>
      <w:lvlJc w:val="right"/>
      <w:pPr>
        <w:ind w:left="6480" w:hanging="180"/>
      </w:pPr>
    </w:lvl>
  </w:abstractNum>
  <w:abstractNum w:abstractNumId="45035060">
    <w:multiLevelType w:val="hybridMultilevel"/>
    <w:lvl w:ilvl="0" w:tplc="746856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035060">
    <w:abstractNumId w:val="45035060"/>
  </w:num>
  <w:num w:numId="45035061">
    <w:abstractNumId w:val="450350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1344859" Type="http://schemas.microsoft.com/office/2011/relationships/commentsExtended" Target="commentsExtended.xml"/><Relationship Id="rId842033732" Type="http://schemas.microsoft.com/office/2011/relationships/people" Target="people.xml"/><Relationship Id="rId2059673fcac1bb6ce" Type="http://schemas.openxmlformats.org/officeDocument/2006/relationships/hyperlink" Target="https://gd.eppo.int/taxon/CORBIN/" TargetMode="External"/><Relationship Id="rId6601673fcac1bb74f" Type="http://schemas.openxmlformats.org/officeDocument/2006/relationships/hyperlink" Target="https://gd.eppo.int/taxon/CORBIN/categorization" TargetMode="External"/><Relationship Id="rId5652673fcac1bbf62" Type="http://schemas.openxmlformats.org/officeDocument/2006/relationships/hyperlink" Target="https://gd.eppo.int/taxon/CORBIN/photos" TargetMode="External"/><Relationship Id="rId1171673fcac1bdd9c" Type="http://schemas.openxmlformats.org/officeDocument/2006/relationships/hyperlink" Target="https://doi.org/10.2903/j.efsa.2014.3910" TargetMode="External"/><Relationship Id="rId7698673fcac1bde22" Type="http://schemas.openxmlformats.org/officeDocument/2006/relationships/hyperlink" Target="https://pra.eppo.int/pra/8a8b3bad-4c8d-4f07-9884-a91562a340fd" TargetMode="External"/><Relationship Id="rId9709673fcac1be678" Type="http://schemas.openxmlformats.org/officeDocument/2006/relationships/hyperlink" Target="https://doi.org/10.1128/genomeA.00396-15" TargetMode="External"/><Relationship Id="rId7493673fcac1bec3d" Type="http://schemas.openxmlformats.org/officeDocument/2006/relationships/hyperlink" Target="https://gd.eppo.int" TargetMode="External"/><Relationship Id="rId3894673fcac1bed78" Type="http://schemas.openxmlformats.org/officeDocument/2006/relationships/hyperlink" Target="https://doi.org/10.1111/j.1365-2338.1982.tb01949.x" TargetMode="External"/><Relationship Id="rId4935673fcac1bbe65" Type="http://schemas.openxmlformats.org/officeDocument/2006/relationships/image" Target="media/imgrId4935673fcac1bbe65.jpg"/><Relationship Id="rId9124673fcac1bd008" Type="http://schemas.openxmlformats.org/officeDocument/2006/relationships/image" Target="media/imgrId9124673fcac1bd008.jpg"/><Relationship Id="rId3498673fcac1bef1c" Type="http://schemas.openxmlformats.org/officeDocument/2006/relationships/image" Target="media/imgrId3498673fcac1bef1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