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Clavibacter sepedonicus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Clavibacter sepedonicus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(Spieckermann &amp; Kotthoff) Li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Actinobacteria: Micrococcales: Microbacteriaceae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Bacterium sepedonicum</w:t>
            </w:r>
            <w:r>
              <w:rPr>
                <w:rFonts w:ascii="Calibri" w:hAnsi="Calibri" w:eastAsia="Calibri" w:cs="Calibri"/>
                <w:color w:val="000000"/>
                <w:position w:val="-3"/>
                <w:sz w:val="22"/>
                <w:szCs w:val="22"/>
              </w:rPr>
              <w:t xml:space="preserve"> Spieckermann &amp; Kotthoff, </w:t>
            </w:r>
            <w:r>
              <w:rPr>
                <w:rFonts w:ascii="Calibri" w:hAnsi="Calibri" w:eastAsia="Calibri" w:cs="Calibri"/>
                <w:i/>
                <w:iCs/>
                <w:color w:val="000000"/>
                <w:position w:val="-3"/>
                <w:sz w:val="22"/>
                <w:szCs w:val="22"/>
              </w:rPr>
              <w:t xml:space="preserve">Clavibacter michiganensis subsp. sepedonicus</w:t>
            </w:r>
            <w:r>
              <w:rPr>
                <w:rFonts w:ascii="Calibri" w:hAnsi="Calibri" w:eastAsia="Calibri" w:cs="Calibri"/>
                <w:color w:val="000000"/>
                <w:position w:val="-3"/>
                <w:sz w:val="22"/>
                <w:szCs w:val="22"/>
              </w:rPr>
              <w:t xml:space="preserve"> (Spiekermann &amp; Kotthoff) Davis et al., </w:t>
            </w:r>
            <w:r>
              <w:rPr>
                <w:rFonts w:ascii="Calibri" w:hAnsi="Calibri" w:eastAsia="Calibri" w:cs="Calibri"/>
                <w:i/>
                <w:iCs/>
                <w:color w:val="000000"/>
                <w:position w:val="-3"/>
                <w:sz w:val="22"/>
                <w:szCs w:val="22"/>
              </w:rPr>
              <w:t xml:space="preserve">Corynebacterium michiganense subsp. sepedonicum</w:t>
            </w:r>
            <w:r>
              <w:rPr>
                <w:rFonts w:ascii="Calibri" w:hAnsi="Calibri" w:eastAsia="Calibri" w:cs="Calibri"/>
                <w:color w:val="000000"/>
                <w:position w:val="-3"/>
                <w:sz w:val="22"/>
                <w:szCs w:val="22"/>
              </w:rPr>
              <w:t xml:space="preserve"> (Spiekermann &amp; Kotthoff) Carlson &amp; Vidaver, </w:t>
            </w:r>
            <w:r>
              <w:rPr>
                <w:rFonts w:ascii="Calibri" w:hAnsi="Calibri" w:eastAsia="Calibri" w:cs="Calibri"/>
                <w:i/>
                <w:iCs/>
                <w:color w:val="000000"/>
                <w:position w:val="-3"/>
                <w:sz w:val="22"/>
                <w:szCs w:val="22"/>
              </w:rPr>
              <w:t xml:space="preserve">Corynebacterium sepedonicum</w:t>
            </w:r>
            <w:r>
              <w:rPr>
                <w:rFonts w:ascii="Calibri" w:hAnsi="Calibri" w:eastAsia="Calibri" w:cs="Calibri"/>
                <w:color w:val="000000"/>
                <w:position w:val="-3"/>
                <w:sz w:val="22"/>
                <w:szCs w:val="22"/>
              </w:rPr>
              <w:t xml:space="preserve"> (Spiekermann &amp; Kotthoff) Skaptason &amp; Burkholder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ring rot of potato, ring rot of potato, vascular wilt of potato</w:t>
            </w:r>
            <w:hyperlink r:id="rId1979669e6bbd7cc4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2617669e6bbd7ccb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CORBSE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579769" name="name1372669e6bbd7d2b7" descr="9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8.jpg"/>
                          <pic:cNvPicPr/>
                        </pic:nvPicPr>
                        <pic:blipFill>
                          <a:blip r:embed="rId6499669e6bbd7d2b5" cstate="print"/>
                          <a:stretch>
                            <a:fillRect/>
                          </a:stretch>
                        </pic:blipFill>
                        <pic:spPr>
                          <a:xfrm>
                            <a:off x="0" y="0"/>
                            <a:ext cx="2160000" cy="1281600"/>
                          </a:xfrm>
                          <a:prstGeom prst="rect">
                            <a:avLst/>
                          </a:prstGeom>
                          <a:ln w="0">
                            <a:noFill/>
                          </a:ln>
                        </pic:spPr>
                      </pic:pic>
                    </a:graphicData>
                  </a:graphic>
                </wp:inline>
              </w:drawing>
            </w:r>
            <w:hyperlink r:id="rId5962669e6bbd7d3e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is the only known major and significant host of </w:t>
      </w:r>
      <w:r>
        <w:rPr>
          <w:rFonts w:ascii="Calibri" w:hAnsi="Calibri" w:eastAsia="Calibri" w:cs="Calibri"/>
          <w:i/>
          <w:iCs/>
          <w:color w:val="000000"/>
          <w:sz w:val="22"/>
          <w:szCs w:val="22"/>
        </w:rPr>
        <w:t xml:space="preserve">Clavibacter sepedonicus. </w:t>
      </w:r>
      <w:r>
        <w:rPr>
          <w:rFonts w:ascii="Calibri" w:hAnsi="Calibri" w:eastAsia="Calibri" w:cs="Calibri"/>
          <w:color w:val="000000"/>
          <w:sz w:val="22"/>
          <w:szCs w:val="22"/>
        </w:rPr>
        <w:t xml:space="preserve">The bacterium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been isolated from symptomatic and asymptomatic sugar beet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However, these findings are rare and appear to depend on the sugar beet variety (Bugbee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 Ignatov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2005a).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has also been isolated once from naturally infected tomato plants (Van Vaerenbergh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Upon artificial inoculation, many members of the Solanaceae family (e.g.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but also other plant species (e.g.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were found to be susceptible to</w:t>
      </w:r>
      <w:r>
        <w:rPr>
          <w:rFonts w:ascii="Calibri" w:hAnsi="Calibri" w:eastAsia="Calibri" w:cs="Calibri"/>
          <w:i/>
          <w:iCs/>
          <w:color w:val="000000"/>
          <w:sz w:val="22"/>
          <w:szCs w:val="22"/>
        </w:rPr>
        <w:t xml:space="preserve"> C. sepedonicus</w:t>
      </w:r>
      <w:r>
        <w:rPr>
          <w:rFonts w:ascii="Calibri" w:hAnsi="Calibri" w:eastAsia="Calibri" w:cs="Calibri"/>
          <w:color w:val="000000"/>
          <w:sz w:val="22"/>
          <w:szCs w:val="22"/>
        </w:rPr>
        <w:t xml:space="preserve"> (Knorr, 1948;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was first described in Northern Europe and used to be found mainly in regions with a temperate climate in the northern hemisphere. Within the EPPO region, the climate in North, North-West and Central Europe is favorable to the disease. In the Southern part of the EPPO region, climatic conditions are not suitable for the establishment of ring rot except, in mountainous areas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In the EPPO region,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is often reported with restricted distribution, and is only considered widespread in Russia, Ukraine and on the island of Crete (Greece).</w:t>
      </w:r>
    </w:p>
    <w:p>
      <w:r>
        <w:drawing>
          <wp:inline distT="0" distB="0" distL="0" distR="0">
            <wp:extent cx="6120000" cy="3067200"/>
            <wp:docPr id="69334219" name="name3624669e6bbd7e471" descr="CORBS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SE_distribution_map.jpg"/>
                    <pic:cNvPicPr/>
                  </pic:nvPicPr>
                  <pic:blipFill>
                    <a:blip r:embed="rId1148669e6bbd7e46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Belarus, Bulgaria, Czech Republic, Estonia, Finland, Georgia, Germany, Greece (mainland, Kriti), Hungary, Kazakhstan, Latvia, Lithuania, Norway, Poland, Romania, Russia (Central Russia, Eastern Siberia, Northern Russia, Western Siberia), Slovakia, Spain (mainland), Sweden, Türkiye, Ukraine,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Hebei, Heilongjiang, Henan, Jiangsu, Ningxia, Shaanxi, Yunnan, Zhejiang), Japan, Kazakhstan, Korea Dem. People's Republic, Korea, Republic, Nepal, Pakistan, Taiwan, Uzbekistan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Saskatchewan), Mexico, United States of America (Colorado, Idaho, Kansas, Maine, New York, North Dakota, Oregon, Washington,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pathway of introduction of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is through infected seed potatoes. True potato seeds might also be a source of infection if they come in contact with contaminated tools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2015). After a diseased seed potato is planted, the bacteria multiply very rapidly and pass along the vascular strands into the stems and petioles. From there they reach the roots and maturing daughter tubers, sometimes within 8 weeks after planting. The daughter tubers may themselves be used as seed potatoes and perpetuate the disease.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does generally not survive in the soil during winter. The bacterium can, however, survive and remain infectious on potato bags, barn walls, machinery and other equipment and in volunteer plants from an infected crop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Survival is longest in cold dry conditions.</w:t>
      </w:r>
      <w:r>
        <w:rPr>
          <w:rFonts w:ascii="Calibri" w:hAnsi="Calibri" w:eastAsia="Calibri" w:cs="Calibri"/>
          <w:i/>
          <w:iCs/>
          <w:color w:val="000000"/>
          <w:sz w:val="22"/>
          <w:szCs w:val="22"/>
        </w:rPr>
        <w:t xml:space="preserve"> C</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is relatively vulnerable to higher temperatures (&gt;55°C) suggesting that compost may not be a major inoculum source. However, survival of the bacterium inside protective plant tissue during the composting process might occur and the use of residues from potato processing in agriculture is therefore not recommended (Steinmöller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Stevens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The bacterium remains infectious at and above freezing temperatures for at least 18 months on burlap and for 63 months in infected potato stems (Nelson, 1985). If volunteer plants from a previously infected crop are lifted with an otherwise healthy seed potato crop, that crop can be infected.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has a relatively low optimal growth temperature (21-23°C) and therefore it is mainly confined to cooler areas of the world (see Geographical distribution).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shown by infected plants are rather variable and, because they usually appear late in the growing season, may be mistaken for late blight (</w:t>
      </w:r>
      <w:r>
        <w:rPr>
          <w:rFonts w:ascii="Calibri" w:hAnsi="Calibri" w:eastAsia="Calibri" w:cs="Calibri"/>
          <w:i/>
          <w:iCs/>
          <w:color w:val="000000"/>
          <w:sz w:val="22"/>
          <w:szCs w:val="22"/>
        </w:rPr>
        <w:t xml:space="preserve">Phytophthora infestans</w:t>
      </w:r>
      <w:r>
        <w:rPr>
          <w:rFonts w:ascii="Calibri" w:hAnsi="Calibri" w:eastAsia="Calibri" w:cs="Calibri"/>
          <w:color w:val="000000"/>
          <w:sz w:val="22"/>
          <w:szCs w:val="22"/>
        </w:rPr>
        <w:t xml:space="preserve">), Verticillium wilt (</w:t>
      </w:r>
      <w:r>
        <w:rPr>
          <w:rFonts w:ascii="Calibri" w:hAnsi="Calibri" w:eastAsia="Calibri" w:cs="Calibri"/>
          <w:i/>
          <w:iCs/>
          <w:color w:val="000000"/>
          <w:sz w:val="22"/>
          <w:szCs w:val="22"/>
        </w:rPr>
        <w:t xml:space="preserve">Verticillium albo-atrum, Verticillium dahliae</w:t>
      </w:r>
      <w:r>
        <w:rPr>
          <w:rFonts w:ascii="Calibri" w:hAnsi="Calibri" w:eastAsia="Calibri" w:cs="Calibri"/>
          <w:color w:val="000000"/>
          <w:sz w:val="22"/>
          <w:szCs w:val="22"/>
        </w:rPr>
        <w:t xml:space="preserve">), stem canker (</w:t>
      </w:r>
      <w:r>
        <w:rPr>
          <w:rFonts w:ascii="Calibri" w:hAnsi="Calibri" w:eastAsia="Calibri" w:cs="Calibri"/>
          <w:i/>
          <w:iCs/>
          <w:color w:val="000000"/>
          <w:sz w:val="22"/>
          <w:szCs w:val="22"/>
        </w:rPr>
        <w:t xml:space="preserve">Rhizoctonia solani</w:t>
      </w:r>
      <w:r>
        <w:rPr>
          <w:rFonts w:ascii="Calibri" w:hAnsi="Calibri" w:eastAsia="Calibri" w:cs="Calibri"/>
          <w:color w:val="000000"/>
          <w:sz w:val="22"/>
          <w:szCs w:val="22"/>
        </w:rPr>
        <w:t xml:space="preserve">) or those caused by drought. The first symptoms of wilting develop in lower leaves, either all around the plant or only on one side of one stem. The margins of the leaves roll inwards and upwards and the surface loses its light shiny appearance. Leaves become progressively dull light-green, then grey-green with occasional mottling, then yellow and finally brown and necrotic. When infected stems are cut across, discoloration of vascular tissue is not obvious. Symptom formation is enhanced by hot, dry weather conditions (De Boer &amp; Slack, 1984; Whitworth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Tuber symptoms may be confused with those caused by the bacterium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(EFSA, 2019). Tuber infection occurs through the stolon. Early infections can be observed, when the tuber is cut across the heel end, as narrow glassy to cream-yellow zones along the vascular tissue near the stolon end. In the case of more advanced infections this narrow yellowish to light-brown zone surrounds all the vascular tissue. In later stages the vascular ring and the discoloured zone become soft. Characteristically, upon squeezing, the tissue outside the vascular ring is easily separated from the inner tissues and creamy, cheese-like ribbons of odourless bacterial ooze with macerated tissue are expelled. In these advanced stages, external symptoms may also be observed, consisting of reddish to brown blotches around the eyes. The skin shows irregular, often star-shaped cracks. These cracked tubers are very susceptible to secondary soft-rot micro-organisms which obscure the ring rot symptoms (De Boer &amp; Slack, 1984;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2005b; Whitworth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Mild infections in both susceptible and tolerant potato cultivars may cause so-called latent infections of daughter tubers. Latent infections can only be traced by laboratory testing (see Detection and inspection methods).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is a non-spore forming, non-motile, Gram-positive rod-shaped bacterium that forms white mucoid colonies (Hayward &amp; Waterston, 1964;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Surveillance for the presence of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in a country or area not known to have potato ring rot, is usually based on a systematic detection survey. Specific guidance on the sampling of potato tubers in store or in the field (shortly before harvest) is given in the EPPO Standards PM 9/2 National regulatory control systems for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(EPPO, 2011), PM 3/70 </w:t>
      </w:r>
      <w:r>
        <w:rPr>
          <w:rFonts w:ascii="Calibri" w:hAnsi="Calibri" w:eastAsia="Calibri" w:cs="Calibri"/>
          <w:i/>
          <w:iCs/>
          <w:color w:val="000000"/>
          <w:sz w:val="22"/>
          <w:szCs w:val="22"/>
        </w:rPr>
        <w:t xml:space="preserve">Export certification and import compliance checking for potato tubers</w:t>
      </w:r>
      <w:r>
        <w:rPr>
          <w:rFonts w:ascii="Calibri" w:hAnsi="Calibri" w:eastAsia="Calibri" w:cs="Calibri"/>
          <w:color w:val="000000"/>
          <w:sz w:val="22"/>
          <w:szCs w:val="22"/>
        </w:rPr>
        <w:t xml:space="preserve"> (EPPO, 2019a) and PM 3/71 </w:t>
      </w:r>
      <w:r>
        <w:rPr>
          <w:rFonts w:ascii="Calibri" w:hAnsi="Calibri" w:eastAsia="Calibri" w:cs="Calibri"/>
          <w:i/>
          <w:iCs/>
          <w:color w:val="000000"/>
          <w:sz w:val="22"/>
          <w:szCs w:val="22"/>
        </w:rPr>
        <w:t xml:space="preserve">General crop inspection procedure for potatoes</w:t>
      </w:r>
      <w:r>
        <w:rPr>
          <w:rFonts w:ascii="Calibri" w:hAnsi="Calibri" w:eastAsia="Calibri" w:cs="Calibri"/>
          <w:color w:val="000000"/>
          <w:sz w:val="22"/>
          <w:szCs w:val="22"/>
        </w:rPr>
        <w:t xml:space="preserve"> (EPPO, 2007). Additionally, samples may be inspected visually by cutting tubers at the stolon end, and growing potato crops may be visually inspected at appropriate times for typical signs and symptoms of the disease. It should be considered that under European climatic conditions, above ground symptoms are rarely found and then often only at the end of the season (EPPO, 2011). </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symptoms of ring rot are variable and sometimes masked by other diseases, and because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often is present without causing symptoms, ring rot can be confirmed only by laboratory testing.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is a slow-growing bacterium and therefore when isolating the bacterium an enrichment step is often necessary to prevent it being overgrown by other bacteria. This can be done by inoculating specific eggplant varieties with potato extracts so the bacterium can multiply inside this plant. Subsequent isolation and purification steps are strongly facilitated by this step (EFSA, 2019; EPPO, 2022;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2005b).</w:t>
      </w:r>
    </w:p>
    <w:p>
      <w:pPr>
        <w:widowControl w:val="on"/>
        <w:pBdr/>
        <w:spacing w:before="220" w:after="220" w:line="240" w:lineRule="auto"/>
        <w:ind w:left="0" w:right="0"/>
        <w:jc w:val="both"/>
      </w:pPr>
      <w:r>
        <w:rPr>
          <w:rFonts w:ascii="Calibri" w:hAnsi="Calibri" w:eastAsia="Calibri" w:cs="Calibri"/>
          <w:color w:val="000000"/>
          <w:sz w:val="22"/>
          <w:szCs w:val="22"/>
        </w:rPr>
        <w:t xml:space="preserve">An immunofluorescence test and several molecular tests have been widely implemented in diagnostic laboratories to detect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Due to specificity problems observed in some cases, it is important to use a second test for detection, based on a different biological principle or on a different part of the genome, to confirm a positive result in the first detection test (EFSA, 2019; EPPO, 2022;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2005b). The conventional PCR based test by Pastrik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several real-time PCR tests have been shown to perform well in recent test performance studies (Vaerenbergh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Vreeburg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Among the real time PCR tests the one of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as well as the more recently developed real time PCR tests (Gudmestad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Massart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Vreeburg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Vreeburg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exhibit high analytical sensitivity and analytical specificity and have been implemented in diagnostic laboratories. </w:t>
      </w:r>
    </w:p>
    <w:p>
      <w:pPr>
        <w:widowControl w:val="on"/>
        <w:pBdr/>
        <w:spacing w:before="220" w:after="220" w:line="240" w:lineRule="auto"/>
        <w:ind w:left="0" w:right="0"/>
        <w:jc w:val="both"/>
      </w:pPr>
      <w:r>
        <w:rPr>
          <w:rFonts w:ascii="Calibri" w:hAnsi="Calibri" w:eastAsia="Calibri" w:cs="Calibri"/>
          <w:color w:val="000000"/>
          <w:sz w:val="22"/>
          <w:szCs w:val="22"/>
        </w:rPr>
        <w:t xml:space="preserve">An updated version of the EPPO diagnostic protocol for the bacterium, providing details on the detection and identification tests is availabel (EPPO,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Important means of spread are the planting of infected seed potatoes and contamination of containers, equipment and premises. When seed potatoes are cut before planting the cutting knife is an important dispersal unit: after cutting an infected tuber, 20-30 healthy tubers may be infected. Planters and graders which have been contaminated by bacteria from a few highly infected potatoes are also a potent infection source. Spread in the field from plant to plant is usually very low, but there is experimental evidence that some insects, including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leafhoppers and aphids can transmit the disease (Christie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Duncan &amp; Généreux, 1960; Mansfeld-Giese,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is caused by destruction of vascular tissues and subsequent wilting and dying of plants and secondary rotting of tubers. In the past crop losses have been mainly reported from North America (up to 50%; Easton, 1979) and Russia (15-30% of plants infected, up to 47% crop loss; Muller &amp; Ficke, 1974). Where ring rot occurs in the EPPO region, the disease appears more sporadically and at low levels of infection. However, a single infected tuber can already have a large economic impact. The economic impact can be caused by direct crop losses, by rejection of infected lots and by loss of (potential) export markets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2005b).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At the moment there is no method of direct chemical or biological control available. Breeding for resistance produced in the past some tolerant cultivars, which are not used much (Manzer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 Manzer &amp; McKenzie, 1988). The most important methods of control are production of disease-free seed potatoes following strict certification and testing schemes (Nelson, 1985; EPPO, 1999) and sanitation (Lynch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crop rotation and weed/volunteer control are important preventive measures (EFSA, 2019; EPPO, 2020).  Since the bacterium might be present in mixed soil from potato handling facilities, soil should only be returned to agricultural fields if the risk is considered acceptable. Conditions for returning soil to a place of production used to grow potatoes are described in draft Standard PM 3/92 (1) </w:t>
      </w:r>
      <w:r>
        <w:rPr>
          <w:rFonts w:ascii="Calibri" w:hAnsi="Calibri" w:eastAsia="Calibri" w:cs="Calibri"/>
          <w:i/>
          <w:iCs/>
          <w:color w:val="000000"/>
          <w:sz w:val="22"/>
          <w:szCs w:val="22"/>
        </w:rPr>
        <w:t xml:space="preserve">Management of phytosanitary risks for potato crops resulting from movement of soil associated with root crops and potatoes</w:t>
      </w:r>
      <w:r>
        <w:rPr>
          <w:rFonts w:ascii="Calibri" w:hAnsi="Calibri" w:eastAsia="Calibri" w:cs="Calibri"/>
          <w:color w:val="000000"/>
          <w:sz w:val="22"/>
          <w:szCs w:val="22"/>
        </w:rPr>
        <w:t xml:space="preserve"> (EPPO, in press).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Since the bacterium might survive inside protective plant tissue during the composting process, the use of residues from potato processing in agriculture is not recommended (Steinmöller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Stevens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w:t>
      </w:r>
    </w:p>
    <w:p>
      <w:pPr>
        <w:widowControl w:val="on"/>
        <w:pBdr/>
        <w:spacing w:before="220" w:after="220" w:line="240" w:lineRule="auto"/>
        <w:ind w:left="0" w:right="0"/>
        <w:jc w:val="both"/>
      </w:pPr>
      <w:r>
        <w:rPr>
          <w:rFonts w:ascii="Calibri" w:hAnsi="Calibri" w:eastAsia="Calibri" w:cs="Calibri"/>
          <w:color w:val="000000"/>
          <w:sz w:val="22"/>
          <w:szCs w:val="22"/>
        </w:rPr>
        <w:t xml:space="preserve">Disinfection is not part of routine hygiene measures but is obligatory after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has been detected. EPPO developed a Standard that describes the cleaning and disinfection procedures in the potato production chain (EPPO, 2006). The efficacy of several chemical disinfection methods on different surfaces has been investigated (Howard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More specifically, disinfection of wooden potato crates with a product containing sodium-</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-toluenesulfochloramide has been shown to be effective (Stevens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seed-potato-producing countries in the EPPO region are free from the pest, as well as most Mediterranean countries exporting ware potatoes towards Northern European countries. The pathogen is likely to be able to establish wherever climatic conditions are favorable for the pathogen and potatoes are grown and to become increasingly widespread. While the direct economic impact of ring rot may only be moderate, especially with modern production systems, it would constitute a major extra constraint on seed potato production in countries where it does not occur, with considerable indirect effects on trade.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Ring rot can occur at low levels in potato production systems and can cause latent infection of tubers. Therefore, phytosanitary measures focusing on potato consignments only are inadequate. Measures have to be implemented for the whole production system, i.e. on the material from which potato consignments are derived and at the place/site or area of production. For seed potatoes, in particular, they involve a series of multiple checks, each of which is considered by itself insufficient. </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that countries where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is not known to occur, or which have implemented eradication or containment measures according to PM 9/2 (EPPO, 2011), should require measures for import of seed potatoes (except microplants and minitubers) and ware potatoes. According to EPPO Standard PM 8/1 (EPPO, 2017) seed and ware potatoes imported from a country where the pest occurs should be subject to transitional arrangements. Imported potatoes should come from a pest-free area and originate from a pest-free potato production and distribution system, according to EPPO Standard PM 3/61 (EPPO, 2019b), or the exporting country should have implemented an official regulatory control system according to EPPO Standard PM 9/2 (EPPO, 2011). If potatoes are imported from a country where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is not known to occur, the absence should be confirmed by a survey following ISPM 6 </w:t>
      </w:r>
      <w:r>
        <w:rPr>
          <w:rFonts w:ascii="Calibri" w:hAnsi="Calibri" w:eastAsia="Calibri" w:cs="Calibri"/>
          <w:i/>
          <w:iCs/>
          <w:color w:val="000000"/>
          <w:sz w:val="22"/>
          <w:szCs w:val="22"/>
        </w:rPr>
        <w:t xml:space="preserve">Surveillance</w:t>
      </w:r>
      <w:r>
        <w:rPr>
          <w:rFonts w:ascii="Calibri" w:hAnsi="Calibri" w:eastAsia="Calibri" w:cs="Calibri"/>
          <w:color w:val="000000"/>
          <w:sz w:val="22"/>
          <w:szCs w:val="22"/>
        </w:rPr>
        <w:t xml:space="preserve"> (IPPC, 2018). In addition, post-entry quarantine programs are established to allow safe movement of potato germplasm for research and breeding purposes (EPPO, 2019c).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Bugbee WM, Gudmestad NC, Secor GA &amp; Nolte P (1987) Sugar beet as a symptomless host for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177</w:t>
      </w:r>
      <w:r>
        <w:rPr>
          <w:rFonts w:ascii="Calibri" w:hAnsi="Calibri" w:eastAsia="Calibri" w:cs="Calibri"/>
          <w:color w:val="000000"/>
          <w:sz w:val="22"/>
          <w:szCs w:val="22"/>
        </w:rPr>
        <w:t xml:space="preserve">, 765-770.</w:t>
      </w:r>
    </w:p>
    <w:p>
      <w:pPr>
        <w:widowControl w:val="on"/>
        <w:pBdr/>
        <w:spacing w:before="220" w:after="220" w:line="240" w:lineRule="auto"/>
        <w:ind w:left="0" w:right="0"/>
        <w:jc w:val="left"/>
      </w:pPr>
      <w:r>
        <w:rPr>
          <w:rFonts w:ascii="Calibri" w:hAnsi="Calibri" w:eastAsia="Calibri" w:cs="Calibri"/>
          <w:color w:val="000000"/>
          <w:sz w:val="22"/>
          <w:szCs w:val="22"/>
        </w:rPr>
        <w:t xml:space="preserve">Christie RD, Sumalde AC, Schulz JT &amp; Gudmestad NC (1991) Insect transmission of the bacterial ring rot pathogen.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363-372.</w:t>
      </w:r>
    </w:p>
    <w:p>
      <w:pPr>
        <w:widowControl w:val="on"/>
        <w:pBdr/>
        <w:spacing w:before="220" w:after="220" w:line="240" w:lineRule="auto"/>
        <w:ind w:left="0" w:right="0"/>
        <w:jc w:val="left"/>
      </w:pPr>
      <w:r>
        <w:rPr>
          <w:rFonts w:ascii="Calibri" w:hAnsi="Calibri" w:eastAsia="Calibri" w:cs="Calibri"/>
          <w:color w:val="000000"/>
          <w:sz w:val="22"/>
          <w:szCs w:val="22"/>
        </w:rPr>
        <w:t xml:space="preserve">Davis MJ, Gillaspie AG, Vidaver AK &amp; Harris RW (1984)</w:t>
      </w:r>
      <w:r>
        <w:rPr>
          <w:rFonts w:ascii="Calibri" w:hAnsi="Calibri" w:eastAsia="Calibri" w:cs="Calibri"/>
          <w:i/>
          <w:iCs/>
          <w:color w:val="000000"/>
          <w:sz w:val="22"/>
          <w:szCs w:val="22"/>
        </w:rPr>
        <w:t xml:space="preserve"> Clavibacter</w:t>
      </w:r>
      <w:r>
        <w:rPr>
          <w:rFonts w:ascii="Calibri" w:hAnsi="Calibri" w:eastAsia="Calibri" w:cs="Calibri"/>
          <w:color w:val="000000"/>
          <w:sz w:val="22"/>
          <w:szCs w:val="22"/>
        </w:rPr>
        <w:t xml:space="preserve">: a new genus containing some phytopathogenic coryneform bacteria, including </w:t>
      </w:r>
      <w:r>
        <w:rPr>
          <w:rFonts w:ascii="Calibri" w:hAnsi="Calibri" w:eastAsia="Calibri" w:cs="Calibri"/>
          <w:i/>
          <w:iCs/>
          <w:color w:val="000000"/>
          <w:sz w:val="22"/>
          <w:szCs w:val="22"/>
        </w:rPr>
        <w:t xml:space="preserve">Clavibacter xyli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xyli</w:t>
      </w:r>
      <w:r>
        <w:rPr>
          <w:rFonts w:ascii="Calibri" w:hAnsi="Calibri" w:eastAsia="Calibri" w:cs="Calibri"/>
          <w:color w:val="000000"/>
          <w:sz w:val="22"/>
          <w:szCs w:val="22"/>
        </w:rPr>
        <w:t xml:space="preserve"> sp. nov., subsp. nov. and </w:t>
      </w:r>
      <w:r>
        <w:rPr>
          <w:rFonts w:ascii="Calibri" w:hAnsi="Calibri" w:eastAsia="Calibri" w:cs="Calibri"/>
          <w:i/>
          <w:iCs/>
          <w:color w:val="000000"/>
          <w:sz w:val="22"/>
          <w:szCs w:val="22"/>
        </w:rPr>
        <w:t xml:space="preserve">Clavibacter xyli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cynodontis</w:t>
      </w:r>
      <w:r>
        <w:rPr>
          <w:rFonts w:ascii="Calibri" w:hAnsi="Calibri" w:eastAsia="Calibri" w:cs="Calibri"/>
          <w:color w:val="000000"/>
          <w:sz w:val="22"/>
          <w:szCs w:val="22"/>
        </w:rPr>
        <w:t xml:space="preserve"> subsp. nov., pathogens that cause ratoon stunting disease of sugarcane and bermudagrass stunting disease.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107-117.</w:t>
      </w:r>
    </w:p>
    <w:p>
      <w:pPr>
        <w:widowControl w:val="on"/>
        <w:pBdr/>
        <w:spacing w:before="220" w:after="220" w:line="240" w:lineRule="auto"/>
        <w:ind w:left="0" w:right="0"/>
        <w:jc w:val="left"/>
      </w:pPr>
      <w:r>
        <w:rPr>
          <w:rFonts w:ascii="Calibri" w:hAnsi="Calibri" w:eastAsia="Calibri" w:cs="Calibri"/>
          <w:color w:val="000000"/>
          <w:sz w:val="22"/>
          <w:szCs w:val="22"/>
        </w:rPr>
        <w:t xml:space="preserve">De Boer SH &amp; Slack SA (1984) Current status and prospects for detecting and controlling bacterial ring rot of potatoes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841-844.</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 &amp; Généreux H (1960) La transmission par les insectes de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110-116.</w:t>
      </w:r>
    </w:p>
    <w:p>
      <w:pPr>
        <w:widowControl w:val="on"/>
        <w:pBdr/>
        <w:spacing w:before="220" w:after="220" w:line="240" w:lineRule="auto"/>
        <w:ind w:left="0" w:right="0"/>
        <w:jc w:val="left"/>
      </w:pPr>
      <w:r>
        <w:rPr>
          <w:rFonts w:ascii="Calibri" w:hAnsi="Calibri" w:eastAsia="Calibri" w:cs="Calibri"/>
          <w:color w:val="000000"/>
          <w:sz w:val="22"/>
          <w:szCs w:val="22"/>
        </w:rPr>
        <w:t xml:space="preserve">Easton GD (1979) The biology and epidemiology of potato ring rot.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459-460.</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EFSA Panel on Plant Health: Bragard C, Dehnen‐Schmutz K, Di Serio F, Gonthier P, Jaques Miret JA, Justesen AF, Macleod A, Magnusson CS, Milonas P, Navas‐Cortes J, Parnell S, Potting R, Reignault PL, Thulke HH, Van Der Werf W, Vicent Civera A, Yuen J, Zappalà L, Van Der Wolf J, Kaluski T, Pautasso M &amp; Jacques M. Pest categorisation of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1-26.</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Standard PM 4/28(1) Seed potatoes. Certification schemes.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253-267. Available at </w:t>
      </w:r>
      <w:hyperlink r:id="rId7073669e6bbd7f4c8"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Diagnostics. EPPO Standard PM 7/59 (2) </w:t>
      </w:r>
      <w:r>
        <w:rPr>
          <w:rFonts w:ascii="Calibri" w:hAnsi="Calibri" w:eastAsia="Calibri" w:cs="Calibri"/>
          <w:i/>
          <w:iCs/>
          <w:color w:val="000000"/>
          <w:sz w:val="22"/>
          <w:szCs w:val="22"/>
        </w:rPr>
        <w:t xml:space="preserve">Clavibacter </w:t>
      </w:r>
      <w:r>
        <w:rPr>
          <w:rFonts w:ascii="Calibri" w:hAnsi="Calibri" w:eastAsia="Calibri" w:cs="Calibri"/>
          <w:i/>
          <w:iCs/>
          <w:color w:val="000000"/>
          <w:sz w:val="22"/>
          <w:szCs w:val="22"/>
        </w:rPr>
        <w:t xml:space="preserve">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262–285. Available at </w:t>
      </w:r>
      <w:hyperlink r:id="rId9116669e6bbd7f570" w:history="1">
        <w:r>
          <w:rPr>
            <w:rFonts w:ascii="Calibri" w:hAnsi="Calibri" w:eastAsia="Calibri" w:cs="Calibri"/>
            <w:color w:val="0000CC"/>
            <w:sz w:val="22"/>
            <w:szCs w:val="22"/>
            <w:u w:val="single"/>
          </w:rPr>
          <w:t xml:space="preserve">https://gd.eppo.int/standards/PM7/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Phytosanitary treatments. EPPO Standard PM 10/1 (1) Disinfection procedures in potato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463-466. Available at </w:t>
      </w:r>
      <w:hyperlink r:id="rId9323669e6bbd7f5f4" w:history="1">
        <w:r>
          <w:rPr>
            <w:rFonts w:ascii="Calibri" w:hAnsi="Calibri" w:eastAsia="Calibri" w:cs="Calibri"/>
            <w:color w:val="0000CC"/>
            <w:sz w:val="22"/>
            <w:szCs w:val="22"/>
            <w:u w:val="single"/>
          </w:rPr>
          <w:t xml:space="preserve">https://gd.eppo.int/standards/PM10/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Phytosanitary procedures. EPPO Standard PM 3/71 </w:t>
      </w:r>
      <w:r>
        <w:rPr>
          <w:rFonts w:ascii="Calibri" w:hAnsi="Calibri" w:eastAsia="Calibri" w:cs="Calibri"/>
          <w:i/>
          <w:iCs/>
          <w:color w:val="000000"/>
          <w:sz w:val="22"/>
          <w:szCs w:val="22"/>
        </w:rPr>
        <w:t xml:space="preserve">General crop inspection procedure for potatoes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2979669e6bbd7f693"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National regulatory control systems. EPPO Standard PM 9/2 (2)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385-388. Available at </w:t>
      </w:r>
      <w:hyperlink r:id="rId5263669e6bbd7f74c" w:history="1">
        <w:r>
          <w:rPr>
            <w:rFonts w:ascii="Calibri" w:hAnsi="Calibri" w:eastAsia="Calibri" w:cs="Calibri"/>
            <w:color w:val="0000CC"/>
            <w:sz w:val="22"/>
            <w:szCs w:val="22"/>
            <w:u w:val="single"/>
          </w:rPr>
          <w:t xml:space="preserve">https://gd.eppo.int/standards/PM9/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Commodity-specific phytosanitary measures.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8364669e6bbd7f7c8" w:history="1">
        <w:r>
          <w:rPr>
            <w:rFonts w:ascii="Calibri" w:hAnsi="Calibri" w:eastAsia="Calibri" w:cs="Calibri"/>
            <w:color w:val="0000CC"/>
            <w:sz w:val="22"/>
            <w:szCs w:val="22"/>
            <w:u w:val="single"/>
          </w:rPr>
          <w:t xml:space="preserve">https://gd.eppo.int/taxon/CORBSE/documents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(2019a) Phytosanitary procedures. EPPO Standard PM 3/70 </w:t>
      </w:r>
      <w:r>
        <w:rPr>
          <w:rFonts w:ascii="Calibri" w:hAnsi="Calibri" w:eastAsia="Calibri" w:cs="Calibri"/>
          <w:i/>
          <w:iCs/>
          <w:color w:val="000000"/>
          <w:sz w:val="22"/>
          <w:szCs w:val="22"/>
        </w:rPr>
        <w:t xml:space="preserve">Export certification and import compliance checking for potato tubers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423-424</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at </w:t>
      </w:r>
      <w:hyperlink r:id="rId1716669e6bbd7f87b"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(2019b) Phytosanitary procedures. EPPO Standard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8684669e6bbd7f8e1"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Phytosanitary procedures. EPPO Standard PM3/21(3)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8040669e6bbd7f95e"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Phytosanitary procedures. EPPO Standard PM 3/89(1) Control of volunteer potato plants.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372-382. Available at </w:t>
      </w:r>
      <w:hyperlink r:id="rId7376669e6bbd7f9cc"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(In press) Diagnostics. EPPO Standard PM 7/59(2)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EPPO (In press) Phytosanitary procedures. EPPO Standard PM 3/92 (1) </w:t>
      </w:r>
      <w:r>
        <w:rPr>
          <w:rFonts w:ascii="Calibri" w:hAnsi="Calibri" w:eastAsia="Calibri" w:cs="Calibri"/>
          <w:i/>
          <w:iCs/>
          <w:color w:val="000000"/>
          <w:sz w:val="22"/>
          <w:szCs w:val="22"/>
        </w:rPr>
        <w:t xml:space="preserve">Management of phytosanitary risks for potato crops resulting from movement of soil associated with root crops and potatoes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51 </w:t>
      </w:r>
      <w:r>
        <w:rPr>
          <w:rFonts w:ascii="Calibri" w:hAnsi="Calibri" w:eastAsia="Calibri" w:cs="Calibri"/>
          <w:color w:val="000000"/>
          <w:sz w:val="22"/>
          <w:szCs w:val="22"/>
        </w:rPr>
        <w:t xml:space="preserve">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Gudmestad NC, Mallik I, Pasche JS, Anderson NR &amp; Kinzer K (2009) A Real-Time PCR assay for the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sepedonicus</w:t>
      </w:r>
      <w:r>
        <w:rPr>
          <w:rFonts w:ascii="Calibri" w:hAnsi="Calibri" w:eastAsia="Calibri" w:cs="Calibri"/>
          <w:color w:val="000000"/>
          <w:sz w:val="22"/>
          <w:szCs w:val="22"/>
        </w:rPr>
        <w:t xml:space="preserve"> based on the cellulase A gene sequence.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649-659.</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&amp; Waterston JM (1964) Corynebacterium sepedonicum. </w:t>
      </w:r>
      <w:r>
        <w:rPr>
          <w:rFonts w:ascii="Calibri" w:hAnsi="Calibri" w:eastAsia="Calibri" w:cs="Calibri"/>
          <w:i/>
          <w:iCs/>
          <w:color w:val="000000"/>
          <w:sz w:val="22"/>
          <w:szCs w:val="22"/>
        </w:rPr>
        <w:t xml:space="preserve">IMI Description of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14. Wallingford UK: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RJ, Harding MW, Daniels GC, Mobbs SL, Lisowski SLI &amp; De Boer SH (2015) Efficacy of agricultural disinfectants on biofilms of the bacterial ring rot pathogen,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273-284.</w:t>
      </w:r>
    </w:p>
    <w:p>
      <w:pPr>
        <w:widowControl w:val="on"/>
        <w:pBdr/>
        <w:spacing w:before="220" w:after="220" w:line="240" w:lineRule="auto"/>
        <w:ind w:left="0" w:right="0"/>
        <w:jc w:val="left"/>
      </w:pPr>
      <w:r>
        <w:rPr>
          <w:rFonts w:ascii="Calibri" w:hAnsi="Calibri" w:eastAsia="Calibri" w:cs="Calibri"/>
          <w:color w:val="000000"/>
          <w:sz w:val="22"/>
          <w:szCs w:val="22"/>
        </w:rPr>
        <w:t xml:space="preserve">Ignatov AN, Panycheva JS, Spechenkova N &amp; Taliansky M (2018) First report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infecting sugar beet in Russia.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2634.</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(2018) ISPM 6 Surveillance. Rome, IPPC, FAO. Available at </w:t>
      </w:r>
      <w:hyperlink r:id="rId1581669e6bbd7fd09" w:history="1">
        <w:r>
          <w:rPr>
            <w:rFonts w:ascii="Calibri" w:hAnsi="Calibri" w:eastAsia="Calibri" w:cs="Calibri"/>
            <w:color w:val="0000CC"/>
            <w:sz w:val="22"/>
            <w:szCs w:val="22"/>
            <w:u w:val="single"/>
          </w:rPr>
          <w:t xml:space="preserve">https://www.ippc.int/en/core-activities/standards-setting/ispms/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Knorr LC (1948) Suscept range of the potato ring rot bacterium.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361-371.</w:t>
      </w:r>
    </w:p>
    <w:p>
      <w:pPr>
        <w:widowControl w:val="on"/>
        <w:pBdr/>
        <w:spacing w:before="220" w:after="220" w:line="240" w:lineRule="auto"/>
        <w:ind w:left="0" w:right="0"/>
        <w:jc w:val="left"/>
      </w:pPr>
      <w:r>
        <w:rPr>
          <w:rFonts w:ascii="Calibri" w:hAnsi="Calibri" w:eastAsia="Calibri" w:cs="Calibri"/>
          <w:color w:val="000000"/>
          <w:sz w:val="22"/>
          <w:szCs w:val="22"/>
        </w:rPr>
        <w:t xml:space="preserve">Li X, Tambong J, Yuan K, Chen W, Xu H, Lévesque CA &amp; De Boer SH (2018) Re-classification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subspecies on the basis of whole-genome and multi-locus sequence analyses.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234-240.</w:t>
      </w:r>
    </w:p>
    <w:p>
      <w:pPr>
        <w:widowControl w:val="on"/>
        <w:pBdr/>
        <w:spacing w:before="220" w:after="220" w:line="240" w:lineRule="auto"/>
        <w:ind w:left="0" w:right="0"/>
        <w:jc w:val="left"/>
      </w:pPr>
      <w:r>
        <w:rPr>
          <w:rFonts w:ascii="Calibri" w:hAnsi="Calibri" w:eastAsia="Calibri" w:cs="Calibri"/>
          <w:color w:val="000000"/>
          <w:sz w:val="22"/>
          <w:szCs w:val="22"/>
        </w:rPr>
        <w:t xml:space="preserve">Lynch DR, Nelson GA &amp; Kulcsar F (1989) Elimination of bacterial ring rot (</w:t>
      </w:r>
      <w:r>
        <w:rPr>
          <w:rFonts w:ascii="Calibri" w:hAnsi="Calibri" w:eastAsia="Calibri" w:cs="Calibri"/>
          <w:i/>
          <w:iCs/>
          <w:color w:val="000000"/>
          <w:sz w:val="22"/>
          <w:szCs w:val="22"/>
        </w:rPr>
        <w:t xml:space="preserve">Corynebacterium sepedonicum </w:t>
      </w:r>
      <w:r>
        <w:rPr>
          <w:rFonts w:ascii="Calibri" w:hAnsi="Calibri" w:eastAsia="Calibri" w:cs="Calibri"/>
          <w:color w:val="000000"/>
          <w:sz w:val="22"/>
          <w:szCs w:val="22"/>
        </w:rPr>
        <w:t xml:space="preserve">[Spieck. and Kotth.] Skapt. and Burkh.) by in vitro culture of sprout tissue.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341-345.</w:t>
      </w:r>
    </w:p>
    <w:p>
      <w:pPr>
        <w:widowControl w:val="on"/>
        <w:pBdr/>
        <w:spacing w:before="220" w:after="220" w:line="240" w:lineRule="auto"/>
        <w:ind w:left="0" w:right="0"/>
        <w:jc w:val="left"/>
      </w:pPr>
      <w:r>
        <w:rPr>
          <w:rFonts w:ascii="Calibri" w:hAnsi="Calibri" w:eastAsia="Calibri" w:cs="Calibri"/>
          <w:color w:val="000000"/>
          <w:sz w:val="22"/>
          <w:szCs w:val="22"/>
        </w:rPr>
        <w:t xml:space="preserve">Mansfeld-Giese K (1997) Plant-to-plant transmission of the bacterial ring rot pathogen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229-235.</w:t>
      </w:r>
    </w:p>
    <w:p>
      <w:pPr>
        <w:widowControl w:val="on"/>
        <w:pBdr/>
        <w:spacing w:before="220" w:after="220" w:line="240" w:lineRule="auto"/>
        <w:ind w:left="0" w:right="0"/>
        <w:jc w:val="left"/>
      </w:pPr>
      <w:r>
        <w:rPr>
          <w:rFonts w:ascii="Calibri" w:hAnsi="Calibri" w:eastAsia="Calibri" w:cs="Calibri"/>
          <w:color w:val="000000"/>
          <w:sz w:val="22"/>
          <w:szCs w:val="22"/>
        </w:rPr>
        <w:t xml:space="preserve">Manzer FE, Gudmestad NC &amp; Nelson GA (1987) Factors affecting infection, disease development, and symptom expression of bacterial ring rot.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671-676.</w:t>
      </w:r>
    </w:p>
    <w:p>
      <w:pPr>
        <w:widowControl w:val="on"/>
        <w:pBdr/>
        <w:spacing w:before="220" w:after="220" w:line="240" w:lineRule="auto"/>
        <w:ind w:left="0" w:right="0"/>
        <w:jc w:val="left"/>
      </w:pPr>
      <w:r>
        <w:rPr>
          <w:rFonts w:ascii="Calibri" w:hAnsi="Calibri" w:eastAsia="Calibri" w:cs="Calibri"/>
          <w:color w:val="000000"/>
          <w:sz w:val="22"/>
          <w:szCs w:val="22"/>
        </w:rPr>
        <w:t xml:space="preserve">Manzer FE &amp; McKenzie AR (1988) Cultivar response to bacterial ring rot infection in Maine.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333-339.</w:t>
      </w:r>
    </w:p>
    <w:p>
      <w:pPr>
        <w:widowControl w:val="on"/>
        <w:pBdr/>
        <w:spacing w:before="220" w:after="220" w:line="240" w:lineRule="auto"/>
        <w:ind w:left="0" w:right="0"/>
        <w:jc w:val="left"/>
      </w:pPr>
      <w:r>
        <w:rPr>
          <w:rFonts w:ascii="Calibri" w:hAnsi="Calibri" w:eastAsia="Calibri" w:cs="Calibri"/>
          <w:color w:val="000000"/>
          <w:sz w:val="22"/>
          <w:szCs w:val="22"/>
        </w:rPr>
        <w:t xml:space="preserve">Massart S, Nagy C &amp; Jijakli MH (2014) Development of the simultaneous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3 and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potato tubers by a multiplex real-time PCR assay.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29-37.</w:t>
      </w:r>
    </w:p>
    <w:p>
      <w:pPr>
        <w:widowControl w:val="on"/>
        <w:pBdr/>
        <w:spacing w:before="220" w:after="220" w:line="240" w:lineRule="auto"/>
        <w:ind w:left="0" w:right="0"/>
        <w:jc w:val="left"/>
      </w:pPr>
      <w:r>
        <w:rPr>
          <w:rFonts w:ascii="Calibri" w:hAnsi="Calibri" w:eastAsia="Calibri" w:cs="Calibri"/>
          <w:color w:val="000000"/>
          <w:sz w:val="22"/>
          <w:szCs w:val="22"/>
        </w:rPr>
        <w:t xml:space="preserve">Muller HJ &amp; Ficke W (1974) [Bacterial ring rot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a dangerous quarantine disease for potato cultivation.]. </w:t>
      </w:r>
      <w:r>
        <w:rPr>
          <w:rFonts w:ascii="Calibri" w:hAnsi="Calibri" w:eastAsia="Calibri" w:cs="Calibri"/>
          <w:i/>
          <w:iCs/>
          <w:color w:val="000000"/>
          <w:sz w:val="22"/>
          <w:szCs w:val="22"/>
        </w:rPr>
        <w:t xml:space="preserve">Nachrichtenblatt für den Pflanzenschutz in der DDR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159-160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GA (1985) Survival of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in potato stems and on surfaces held at freezing and above-freezing temperatures.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23-28.</w:t>
      </w:r>
    </w:p>
    <w:p>
      <w:pPr>
        <w:widowControl w:val="on"/>
        <w:pBdr/>
        <w:spacing w:before="220" w:after="220" w:line="240" w:lineRule="auto"/>
        <w:ind w:left="0" w:right="0"/>
        <w:jc w:val="left"/>
      </w:pPr>
      <w:r>
        <w:rPr>
          <w:rFonts w:ascii="Calibri" w:hAnsi="Calibri" w:eastAsia="Calibri" w:cs="Calibri"/>
          <w:color w:val="000000"/>
          <w:sz w:val="22"/>
          <w:szCs w:val="22"/>
        </w:rPr>
        <w:t xml:space="preserve">Nouioui I, Carro L, García-López M, Meier-Kolthoff JP, Woyke T, Kyrpides NC, Pukall R, Klenk H-P, Goodfellow M &amp; Göker M (2018) Genome-based taxonomic classification of the phylum Actinobacteria.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1-119.</w:t>
      </w:r>
    </w:p>
    <w:p>
      <w:pPr>
        <w:widowControl w:val="on"/>
        <w:pBdr/>
        <w:spacing w:before="220" w:after="220" w:line="240" w:lineRule="auto"/>
        <w:ind w:left="0" w:right="0"/>
        <w:jc w:val="left"/>
      </w:pPr>
      <w:r>
        <w:rPr>
          <w:rFonts w:ascii="Calibri" w:hAnsi="Calibri" w:eastAsia="Calibri" w:cs="Calibri"/>
          <w:color w:val="000000"/>
          <w:sz w:val="22"/>
          <w:szCs w:val="22"/>
        </w:rPr>
        <w:t xml:space="preserve">Pastrik KH (2000) Detection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potato tubers by multiplex PCR with coamplification of host DNA.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155-165.</w:t>
      </w:r>
    </w:p>
    <w:p>
      <w:pPr>
        <w:widowControl w:val="on"/>
        <w:pBdr/>
        <w:spacing w:before="220" w:after="220" w:line="240" w:lineRule="auto"/>
        <w:ind w:left="0" w:right="0"/>
        <w:jc w:val="left"/>
      </w:pPr>
      <w:r>
        <w:rPr>
          <w:rFonts w:ascii="Calibri" w:hAnsi="Calibri" w:eastAsia="Calibri" w:cs="Calibri"/>
          <w:color w:val="000000"/>
          <w:sz w:val="22"/>
          <w:szCs w:val="22"/>
        </w:rPr>
        <w:t xml:space="preserve">Schaad NW, Berthier-Schaad Y, Sechler A &amp; Knorr D (1999) Detection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potato tubers by BIO-PCR and an automated real-time fluorescence detection system.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1095-1100.</w:t>
      </w:r>
    </w:p>
    <w:p>
      <w:pPr>
        <w:widowControl w:val="on"/>
        <w:pBdr/>
        <w:spacing w:before="220" w:after="220" w:line="240" w:lineRule="auto"/>
        <w:ind w:left="0" w:right="0"/>
        <w:jc w:val="left"/>
      </w:pPr>
      <w:r>
        <w:rPr>
          <w:rFonts w:ascii="Calibri" w:hAnsi="Calibri" w:eastAsia="Calibri" w:cs="Calibri"/>
          <w:color w:val="000000"/>
          <w:sz w:val="22"/>
          <w:szCs w:val="22"/>
        </w:rPr>
        <w:t xml:space="preserve">Steinmöller S, Müller P, Bandte M &amp; Büttner C (2013) Risk of dissemination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with potato waste.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573-584.</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 LH, Lamers JG, Van Der Zouwen PS, Mendes O, Van Den Berg W, Tjou-Tam-Sin NNA, Jilesen CJTJ, Spoorenberg PM &amp; Van Der Wolf JM (2017) Chemical eradication of the ring rot bacterium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on potato storage crates.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145-158.</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 LH, Tom JY, van der Zouwen PS, Mendes O, Poleij LM &amp; van der Wolf JM (2021) Effect of temperature treatments on the viability of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in infected potato tissue.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1-18.</w:t>
      </w:r>
    </w:p>
    <w:p>
      <w:pPr>
        <w:widowControl w:val="on"/>
        <w:pBdr/>
        <w:spacing w:before="220" w:after="220" w:line="240" w:lineRule="auto"/>
        <w:ind w:left="0" w:right="0"/>
        <w:jc w:val="left"/>
      </w:pPr>
      <w:r>
        <w:rPr>
          <w:rFonts w:ascii="Calibri" w:hAnsi="Calibri" w:eastAsia="Calibri" w:cs="Calibri"/>
          <w:color w:val="000000"/>
          <w:sz w:val="22"/>
          <w:szCs w:val="22"/>
        </w:rPr>
        <w:t xml:space="preserve">Van Vaerenbergh J, Müller P, Elphinstone JG, Vreeburg RAM &amp; Janse JD (2017) Euphresco inter‐laboratory comparison (2009–2012) on detection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potato tubers: proposal to inc.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24-32.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(2015) Pest Risk Analysis EU internal movement of true potato seed (TPS) of registered TPS varieties: probability of association of regulated pests and analysis of risk reduction options. </w:t>
      </w:r>
      <w:r>
        <w:rPr>
          <w:rFonts w:ascii="Calibri" w:hAnsi="Calibri" w:eastAsia="Calibri" w:cs="Calibri"/>
          <w:i/>
          <w:iCs/>
          <w:color w:val="000000"/>
          <w:sz w:val="22"/>
          <w:szCs w:val="22"/>
        </w:rPr>
        <w:t xml:space="preserve">Netherlands Food and Consumer Product Safety Authority</w:t>
      </w:r>
      <w:r>
        <w:rPr>
          <w:rFonts w:ascii="Calibri" w:hAnsi="Calibri" w:eastAsia="Calibri" w:cs="Calibri"/>
          <w:color w:val="000000"/>
          <w:sz w:val="22"/>
          <w:szCs w:val="22"/>
        </w:rPr>
        <w:t xml:space="preserve">, 1-41. Available at </w:t>
      </w:r>
      <w:hyperlink r:id="rId6872669e6bbd805bc" w:history="1">
        <w:r>
          <w:rPr>
            <w:rFonts w:ascii="Calibri" w:hAnsi="Calibri" w:eastAsia="Calibri" w:cs="Calibri"/>
            <w:color w:val="0000CC"/>
            <w:sz w:val="22"/>
            <w:szCs w:val="22"/>
            <w:u w:val="single"/>
          </w:rPr>
          <w:t xml:space="preserve">https://pra.eppo.int/getfile/40de6c9d-aa1d-4a0d-93f8-8b420ba1ddff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JM, Beckhoven JRCM, Hukkanen A, Karjalainen R &amp; Muller P (2005a) Fate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the causal organism of bacterial ring rot of potato, in weeds and field crops.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358-365.</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JM, Elphinstone JG, Stead DE, Metzler M, Müller P, Hukkanen A &amp; Karjalainen R (2005b) Epidemiology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relation to control of bacterial ring rot. </w:t>
      </w:r>
      <w:r>
        <w:rPr>
          <w:rFonts w:ascii="Calibri" w:hAnsi="Calibri" w:eastAsia="Calibri" w:cs="Calibri"/>
          <w:i/>
          <w:iCs/>
          <w:color w:val="000000"/>
          <w:sz w:val="22"/>
          <w:szCs w:val="22"/>
        </w:rPr>
        <w:t xml:space="preserve">Plant Research International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1-44.</w:t>
      </w:r>
    </w:p>
    <w:p>
      <w:pPr>
        <w:widowControl w:val="on"/>
        <w:pBdr/>
        <w:spacing w:before="220" w:after="220" w:line="240" w:lineRule="auto"/>
        <w:ind w:left="0" w:right="0"/>
        <w:jc w:val="left"/>
      </w:pPr>
      <w:r>
        <w:rPr>
          <w:rFonts w:ascii="Calibri" w:hAnsi="Calibri" w:eastAsia="Calibri" w:cs="Calibri"/>
          <w:color w:val="000000"/>
          <w:sz w:val="22"/>
          <w:szCs w:val="22"/>
        </w:rPr>
        <w:t xml:space="preserve">Van Vaerenbergh J, De Paepe B, Hoedekie A, Van Malderghem C, Zaluga J, De Vos P &amp; Maes M (2016) Natural infection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tomato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7.</w:t>
      </w:r>
    </w:p>
    <w:p>
      <w:pPr>
        <w:widowControl w:val="on"/>
        <w:pBdr/>
        <w:spacing w:before="220" w:after="220" w:line="240" w:lineRule="auto"/>
        <w:ind w:left="0" w:right="0"/>
        <w:jc w:val="left"/>
      </w:pPr>
      <w:r>
        <w:rPr>
          <w:rFonts w:ascii="Calibri" w:hAnsi="Calibri" w:eastAsia="Calibri" w:cs="Calibri"/>
          <w:color w:val="000000"/>
          <w:sz w:val="22"/>
          <w:szCs w:val="22"/>
        </w:rPr>
        <w:t xml:space="preserve">Vreeburg RAM, Bergsma-Vlami M, Bollema RM, De Haan EG, Kooman-Gersmann M, Smits-Mastebroek L, Tameling WIL, Tjou-Tam-Sin NNA, Van De Vossenberg BTLH &amp; Janse JD (2016) Performance of real-time PCR and immunofluorescence for the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sepedonicus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potato tubers in routine testing.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112-121.</w:t>
      </w:r>
    </w:p>
    <w:p>
      <w:pPr>
        <w:widowControl w:val="on"/>
        <w:pBdr/>
        <w:spacing w:before="220" w:after="220" w:line="240" w:lineRule="auto"/>
        <w:ind w:left="0" w:right="0"/>
        <w:jc w:val="left"/>
      </w:pPr>
      <w:r>
        <w:rPr>
          <w:rFonts w:ascii="Calibri" w:hAnsi="Calibri" w:eastAsia="Calibri" w:cs="Calibri"/>
          <w:color w:val="000000"/>
          <w:sz w:val="22"/>
          <w:szCs w:val="22"/>
        </w:rPr>
        <w:t xml:space="preserve">Vreeburg RAM, Zendman AJW, Pol A, Verheij E, Nas M &amp; Kooman-Gersmann M (2018) Validation of four real-time TaqMan PCRs for the detection of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and/or</w:t>
      </w:r>
      <w:r>
        <w:rPr>
          <w:rFonts w:ascii="Calibri" w:hAnsi="Calibri" w:eastAsia="Calibri" w:cs="Calibri"/>
          <w:i/>
          <w:iCs/>
          <w:color w:val="000000"/>
          <w:sz w:val="22"/>
          <w:szCs w:val="22"/>
        </w:rPr>
        <w:t xml:space="preserve"> Ralstonia pseudosolanacearum </w:t>
      </w:r>
      <w:r>
        <w:rPr>
          <w:rFonts w:ascii="Calibri" w:hAnsi="Calibri" w:eastAsia="Calibri" w:cs="Calibri"/>
          <w:color w:val="000000"/>
          <w:sz w:val="22"/>
          <w:szCs w:val="22"/>
        </w:rPr>
        <w:t xml:space="preserve">and/or</w:t>
      </w:r>
      <w:r>
        <w:rPr>
          <w:rFonts w:ascii="Calibri" w:hAnsi="Calibri" w:eastAsia="Calibri" w:cs="Calibri"/>
          <w:i/>
          <w:iCs/>
          <w:color w:val="000000"/>
          <w:sz w:val="22"/>
          <w:szCs w:val="22"/>
        </w:rPr>
        <w:t xml:space="preserve"> 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potato tubers using a statistical regression approach.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86-96.</w:t>
      </w:r>
    </w:p>
    <w:p>
      <w:pPr>
        <w:widowControl w:val="on"/>
        <w:pBdr/>
        <w:spacing w:before="220" w:after="220" w:line="240" w:lineRule="auto"/>
        <w:ind w:left="0" w:right="0"/>
        <w:jc w:val="left"/>
      </w:pPr>
      <w:r>
        <w:rPr>
          <w:rFonts w:ascii="Calibri" w:hAnsi="Calibri" w:eastAsia="Calibri" w:cs="Calibri"/>
          <w:color w:val="000000"/>
          <w:sz w:val="22"/>
          <w:szCs w:val="22"/>
        </w:rPr>
        <w:t xml:space="preserve">Whitworth JL, Selstedt RA, Westra AAG, Nolte P, Duellman K, Yellareddygari SKR &amp; Gudmestad NC (2019) Symptom expression of mainstream and specialty potato cultivars to bacterial ring rot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and evaluation of in-field detection.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427-444.</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w:t>
      </w:r>
      <w:hyperlink r:id="rId9962669e6bbd80cc2" w:history="1">
        <w:r>
          <w:rPr>
            <w:rFonts w:ascii="Calibri" w:hAnsi="Calibri" w:eastAsia="Calibri" w:cs="Calibri"/>
            <w:color w:val="0000CC"/>
            <w:sz w:val="22"/>
            <w:szCs w:val="22"/>
            <w:u w:val="single"/>
          </w:rPr>
          <w:t xml:space="preserve">https://doi.org/10.2903/sp.efsa.2019.EN-1569</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Michiel J.C. Pel and Maria Bergsma-Vlami (NVWA, Netherlands Food and Consumer Product Safety Authority).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EPPO datasheets on pests recommended for regulation. Available online. </w:t>
      </w:r>
      <w:hyperlink r:id="rId2941669e6bbd80d9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 on Quarantine Organisms no 51: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25-29. </w:t>
      </w:r>
      <w:hyperlink r:id="rId1003669e6bbd80f21" w:history="1">
        <w:r>
          <w:rPr>
            <w:rFonts w:ascii="Calibri" w:hAnsi="Calibri" w:eastAsia="Calibri" w:cs="Calibri"/>
            <w:color w:val="0000CC"/>
            <w:sz w:val="22"/>
            <w:szCs w:val="22"/>
            <w:u w:val="single"/>
          </w:rPr>
          <w:t xml:space="preserve">https://doi.org/10.1111/j.1365-2338.1978.tb02765.x</w:t>
        </w:r>
      </w:hyperlink>
      <w:r>
        <w:rPr>
          <w:rFonts w:ascii="Calibri" w:hAnsi="Calibri" w:eastAsia="Calibri" w:cs="Calibri"/>
          <w:color w:val="000000"/>
          <w:sz w:val="22"/>
          <w:szCs w:val="22"/>
        </w:rPr>
        <w:t xml:space="preserve"> </w:t>
      </w:r>
    </w:p>
    <w:p>
      <w:r>
        <w:drawing>
          <wp:inline distT="0" distB="0" distL="0" distR="0">
            <wp:extent cx="1800000" cy="604800"/>
            <wp:docPr id="65584496" name="name4696669e6bbd80fa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215669e6bbd80f9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629700">
    <w:multiLevelType w:val="hybridMultilevel"/>
    <w:lvl w:ilvl="0" w:tplc="20516148">
      <w:start w:val="1"/>
      <w:numFmt w:val="decimal"/>
      <w:lvlText w:val="%1."/>
      <w:lvlJc w:val="left"/>
      <w:pPr>
        <w:ind w:left="720" w:hanging="360"/>
      </w:pPr>
    </w:lvl>
    <w:lvl w:ilvl="1" w:tplc="20516148" w:tentative="1">
      <w:start w:val="1"/>
      <w:numFmt w:val="lowerLetter"/>
      <w:lvlText w:val="%2."/>
      <w:lvlJc w:val="left"/>
      <w:pPr>
        <w:ind w:left="1440" w:hanging="360"/>
      </w:pPr>
    </w:lvl>
    <w:lvl w:ilvl="2" w:tplc="20516148" w:tentative="1">
      <w:start w:val="1"/>
      <w:numFmt w:val="lowerRoman"/>
      <w:lvlText w:val="%3."/>
      <w:lvlJc w:val="right"/>
      <w:pPr>
        <w:ind w:left="2160" w:hanging="180"/>
      </w:pPr>
    </w:lvl>
    <w:lvl w:ilvl="3" w:tplc="20516148" w:tentative="1">
      <w:start w:val="1"/>
      <w:numFmt w:val="decimal"/>
      <w:lvlText w:val="%4."/>
      <w:lvlJc w:val="left"/>
      <w:pPr>
        <w:ind w:left="2880" w:hanging="360"/>
      </w:pPr>
    </w:lvl>
    <w:lvl w:ilvl="4" w:tplc="20516148" w:tentative="1">
      <w:start w:val="1"/>
      <w:numFmt w:val="lowerLetter"/>
      <w:lvlText w:val="%5."/>
      <w:lvlJc w:val="left"/>
      <w:pPr>
        <w:ind w:left="3600" w:hanging="360"/>
      </w:pPr>
    </w:lvl>
    <w:lvl w:ilvl="5" w:tplc="20516148" w:tentative="1">
      <w:start w:val="1"/>
      <w:numFmt w:val="lowerRoman"/>
      <w:lvlText w:val="%6."/>
      <w:lvlJc w:val="right"/>
      <w:pPr>
        <w:ind w:left="4320" w:hanging="180"/>
      </w:pPr>
    </w:lvl>
    <w:lvl w:ilvl="6" w:tplc="20516148" w:tentative="1">
      <w:start w:val="1"/>
      <w:numFmt w:val="decimal"/>
      <w:lvlText w:val="%7."/>
      <w:lvlJc w:val="left"/>
      <w:pPr>
        <w:ind w:left="5040" w:hanging="360"/>
      </w:pPr>
    </w:lvl>
    <w:lvl w:ilvl="7" w:tplc="20516148" w:tentative="1">
      <w:start w:val="1"/>
      <w:numFmt w:val="lowerLetter"/>
      <w:lvlText w:val="%8."/>
      <w:lvlJc w:val="left"/>
      <w:pPr>
        <w:ind w:left="5760" w:hanging="360"/>
      </w:pPr>
    </w:lvl>
    <w:lvl w:ilvl="8" w:tplc="20516148" w:tentative="1">
      <w:start w:val="1"/>
      <w:numFmt w:val="lowerRoman"/>
      <w:lvlText w:val="%9."/>
      <w:lvlJc w:val="right"/>
      <w:pPr>
        <w:ind w:left="6480" w:hanging="180"/>
      </w:pPr>
    </w:lvl>
  </w:abstractNum>
  <w:abstractNum w:abstractNumId="88629699">
    <w:multiLevelType w:val="hybridMultilevel"/>
    <w:lvl w:ilvl="0" w:tplc="193428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629699">
    <w:abstractNumId w:val="88629699"/>
  </w:num>
  <w:num w:numId="88629700">
    <w:abstractNumId w:val="8862970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15302478" Type="http://schemas.microsoft.com/office/2011/relationships/commentsExtended" Target="commentsExtended.xml"/><Relationship Id="rId174482052" Type="http://schemas.microsoft.com/office/2011/relationships/people" Target="people.xml"/><Relationship Id="rId1979669e6bbd7cc4d" Type="http://schemas.openxmlformats.org/officeDocument/2006/relationships/hyperlink" Target="https://gd.eppo.int/taxon/CORBSE/" TargetMode="External"/><Relationship Id="rId2617669e6bbd7ccb7" Type="http://schemas.openxmlformats.org/officeDocument/2006/relationships/hyperlink" Target="https://gd.eppo.int/taxon/CORBSE/categorization" TargetMode="External"/><Relationship Id="rId5962669e6bbd7d3ec" Type="http://schemas.openxmlformats.org/officeDocument/2006/relationships/hyperlink" Target="https://gd.eppo.int/taxon/CORBSE/photos" TargetMode="External"/><Relationship Id="rId7073669e6bbd7f4c8" Type="http://schemas.openxmlformats.org/officeDocument/2006/relationships/hyperlink" Target="https://gd.eppo.int/taxon/PSTVD0/documents" TargetMode="External"/><Relationship Id="rId9116669e6bbd7f570" Type="http://schemas.openxmlformats.org/officeDocument/2006/relationships/hyperlink" Target="https://gd.eppo.int/standards/PM7/" TargetMode="External"/><Relationship Id="rId9323669e6bbd7f5f4" Type="http://schemas.openxmlformats.org/officeDocument/2006/relationships/hyperlink" Target="https://gd.eppo.int/standards/PM10/" TargetMode="External"/><Relationship Id="rId2979669e6bbd7f693" Type="http://schemas.openxmlformats.org/officeDocument/2006/relationships/hyperlink" Target="https://gd.eppo.int/standards/PM3/" TargetMode="External"/><Relationship Id="rId5263669e6bbd7f74c" Type="http://schemas.openxmlformats.org/officeDocument/2006/relationships/hyperlink" Target="https://gd.eppo.int/standards/PM9/" TargetMode="External"/><Relationship Id="rId8364669e6bbd7f7c8" Type="http://schemas.openxmlformats.org/officeDocument/2006/relationships/hyperlink" Target="https://gd.eppo.int/taxon/CORBSE/documents" TargetMode="External"/><Relationship Id="rId1716669e6bbd7f87b" Type="http://schemas.openxmlformats.org/officeDocument/2006/relationships/hyperlink" Target="https://gd.eppo.int/standards/PM3/" TargetMode="External"/><Relationship Id="rId8684669e6bbd7f8e1" Type="http://schemas.openxmlformats.org/officeDocument/2006/relationships/hyperlink" Target="https://gd.eppo.int/standards/PM3/" TargetMode="External"/><Relationship Id="rId8040669e6bbd7f95e" Type="http://schemas.openxmlformats.org/officeDocument/2006/relationships/hyperlink" Target="https://gd.eppo.int/standards/PM3/" TargetMode="External"/><Relationship Id="rId7376669e6bbd7f9cc" Type="http://schemas.openxmlformats.org/officeDocument/2006/relationships/hyperlink" Target="https://gd.eppo.int/standards/PM3/" TargetMode="External"/><Relationship Id="rId1581669e6bbd7fd09" Type="http://schemas.openxmlformats.org/officeDocument/2006/relationships/hyperlink" Target="https://www.ippc.int/en/core-activities/standards-setting/ispms/" TargetMode="External"/><Relationship Id="rId6872669e6bbd805bc" Type="http://schemas.openxmlformats.org/officeDocument/2006/relationships/hyperlink" Target="https://pra.eppo.int/getfile/40de6c9d-aa1d-4a0d-93f8-8b420ba1ddff" TargetMode="External"/><Relationship Id="rId9962669e6bbd80cc2" Type="http://schemas.openxmlformats.org/officeDocument/2006/relationships/hyperlink" Target="https://doi.org/10.2903/sp.efsa.2019.EN-1569" TargetMode="External"/><Relationship Id="rId2941669e6bbd80d91" Type="http://schemas.openxmlformats.org/officeDocument/2006/relationships/hyperlink" Target="https://gd.eppo.int" TargetMode="External"/><Relationship Id="rId1003669e6bbd80f21" Type="http://schemas.openxmlformats.org/officeDocument/2006/relationships/hyperlink" Target="https://doi.org/10.1111/j.1365-2338.1978.tb02765.x" TargetMode="External"/><Relationship Id="rId6499669e6bbd7d2b5" Type="http://schemas.openxmlformats.org/officeDocument/2006/relationships/image" Target="media/imgrId6499669e6bbd7d2b5.jpg"/><Relationship Id="rId1148669e6bbd7e46d" Type="http://schemas.openxmlformats.org/officeDocument/2006/relationships/image" Target="media/imgrId1148669e6bbd7e46d.jpg"/><Relationship Id="rId5215669e6bbd80f9f" Type="http://schemas.openxmlformats.org/officeDocument/2006/relationships/image" Target="media/imgrId5215669e6bbd80f9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