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sepedonicus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sepedonicus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(Spieckermann &amp; Kotthoff)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sepedonicum</w:t>
            </w:r>
            <w:r>
              <w:rPr>
                <w:rFonts w:ascii="Calibri" w:hAnsi="Calibri" w:eastAsia="Calibri" w:cs="Calibri"/>
                <w:color w:val="000000"/>
                <w:position w:val="-3"/>
                <w:sz w:val="22"/>
                <w:szCs w:val="22"/>
              </w:rPr>
              <w:t xml:space="preserve"> Spieckermann &amp; Kotthoff, </w:t>
            </w:r>
            <w:r>
              <w:rPr>
                <w:rFonts w:ascii="Calibri" w:hAnsi="Calibri" w:eastAsia="Calibri" w:cs="Calibri"/>
                <w:i/>
                <w:iCs/>
                <w:color w:val="000000"/>
                <w:position w:val="-3"/>
                <w:sz w:val="22"/>
                <w:szCs w:val="22"/>
              </w:rPr>
              <w:t xml:space="preserve">Clavibacter michiganensis subsp. sepedonicus</w:t>
            </w:r>
            <w:r>
              <w:rPr>
                <w:rFonts w:ascii="Calibri" w:hAnsi="Calibri" w:eastAsia="Calibri" w:cs="Calibri"/>
                <w:color w:val="000000"/>
                <w:position w:val="-3"/>
                <w:sz w:val="22"/>
                <w:szCs w:val="22"/>
              </w:rPr>
              <w:t xml:space="preserve"> (Spiekermann &amp; Kotthoff) Davis et al., </w:t>
            </w:r>
            <w:r>
              <w:rPr>
                <w:rFonts w:ascii="Calibri" w:hAnsi="Calibri" w:eastAsia="Calibri" w:cs="Calibri"/>
                <w:i/>
                <w:iCs/>
                <w:color w:val="000000"/>
                <w:position w:val="-3"/>
                <w:sz w:val="22"/>
                <w:szCs w:val="22"/>
              </w:rPr>
              <w:t xml:space="preserve">Corynebacterium michiganense subsp. sepedonicum</w:t>
            </w:r>
            <w:r>
              <w:rPr>
                <w:rFonts w:ascii="Calibri" w:hAnsi="Calibri" w:eastAsia="Calibri" w:cs="Calibri"/>
                <w:color w:val="000000"/>
                <w:position w:val="-3"/>
                <w:sz w:val="22"/>
                <w:szCs w:val="22"/>
              </w:rPr>
              <w:t xml:space="preserve"> (Spiekermann &amp; Kotthoff) Carlson &amp; Vidaver, </w:t>
            </w:r>
            <w:r>
              <w:rPr>
                <w:rFonts w:ascii="Calibri" w:hAnsi="Calibri" w:eastAsia="Calibri" w:cs="Calibri"/>
                <w:i/>
                <w:iCs/>
                <w:color w:val="000000"/>
                <w:position w:val="-3"/>
                <w:sz w:val="22"/>
                <w:szCs w:val="22"/>
              </w:rPr>
              <w:t xml:space="preserve">Corynebacterium sepedonicum</w:t>
            </w:r>
            <w:r>
              <w:rPr>
                <w:rFonts w:ascii="Calibri" w:hAnsi="Calibri" w:eastAsia="Calibri" w:cs="Calibri"/>
                <w:color w:val="000000"/>
                <w:position w:val="-3"/>
                <w:sz w:val="22"/>
                <w:szCs w:val="22"/>
              </w:rPr>
              <w:t xml:space="preserve"> (Spiekermann &amp; Kotthoff) Skaptason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ring rot of potato, ring rot of potato, vascular wilt of potato</w:t>
            </w:r>
            <w:hyperlink r:id="rId104467426effcdb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35867426effcdb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CORBSE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808431" name="name981867426effce61a" descr="9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08.jpg"/>
                          <pic:cNvPicPr/>
                        </pic:nvPicPr>
                        <pic:blipFill>
                          <a:blip r:embed="rId399167426effce617" cstate="print"/>
                          <a:stretch>
                            <a:fillRect/>
                          </a:stretch>
                        </pic:blipFill>
                        <pic:spPr>
                          <a:xfrm>
                            <a:off x="0" y="0"/>
                            <a:ext cx="2160000" cy="1281600"/>
                          </a:xfrm>
                          <a:prstGeom prst="rect">
                            <a:avLst/>
                          </a:prstGeom>
                          <a:ln w="0">
                            <a:noFill/>
                          </a:ln>
                        </pic:spPr>
                      </pic:pic>
                    </a:graphicData>
                  </a:graphic>
                </wp:inline>
              </w:drawing>
            </w:r>
            <w:hyperlink r:id="rId676167426effce75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the only known major and significant host of </w:t>
      </w:r>
      <w:r>
        <w:rPr>
          <w:rFonts w:ascii="Calibri" w:hAnsi="Calibri" w:eastAsia="Calibri" w:cs="Calibri"/>
          <w:i/>
          <w:iCs/>
          <w:color w:val="000000"/>
          <w:sz w:val="22"/>
          <w:szCs w:val="22"/>
        </w:rPr>
        <w:t xml:space="preserve">Clavibacter sepedonicus. </w:t>
      </w:r>
      <w:r>
        <w:rPr>
          <w:rFonts w:ascii="Calibri" w:hAnsi="Calibri" w:eastAsia="Calibri" w:cs="Calibri"/>
          <w:color w:val="000000"/>
          <w:sz w:val="22"/>
          <w:szCs w:val="22"/>
        </w:rPr>
        <w:t xml:space="preserve">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isolated from symptomatic and asymptomatic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However, these findings are rare and appear to depend on the sugar beet variety (Bugbee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Ignatov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also been isolated once from naturally infected tomato plants (Van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Upon artificial inoculation, many members of the Solanaceae family (e.g.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also other plant species (e.g.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were found to be susceptible to</w:t>
      </w:r>
      <w:r>
        <w:rPr>
          <w:rFonts w:ascii="Calibri" w:hAnsi="Calibri" w:eastAsia="Calibri" w:cs="Calibri"/>
          <w:i/>
          <w:iCs/>
          <w:color w:val="000000"/>
          <w:sz w:val="22"/>
          <w:szCs w:val="22"/>
        </w:rPr>
        <w:t xml:space="preserve"> C. sepedonicus</w:t>
      </w:r>
      <w:r>
        <w:rPr>
          <w:rFonts w:ascii="Calibri" w:hAnsi="Calibri" w:eastAsia="Calibri" w:cs="Calibri"/>
          <w:color w:val="000000"/>
          <w:sz w:val="22"/>
          <w:szCs w:val="22"/>
        </w:rPr>
        <w:t xml:space="preserve"> (Knorr, 1948;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was first described in Northern Europe and used to be found mainly in regions with a temperate climate in the northern hemisphere. Within the EPPO region, the climate in North, North-West and Central Europe is favorable to the disease. In the Southern part of the EPPO region, climatic conditions are not suitable for the establishment of ring rot except, in mountainous areas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the EPPO region,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often reported with restricted distribution, and is only considered widespread in Russia, Ukraine and on the island of Crete (Greece).</w:t>
      </w:r>
    </w:p>
    <w:p>
      <w:r>
        <w:drawing>
          <wp:inline distT="0" distB="0" distL="0" distR="0">
            <wp:extent cx="6120000" cy="3067200"/>
            <wp:docPr id="5759845" name="name553367426effcfb00" descr="CORB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SE_distribution_map.jpg"/>
                    <pic:cNvPicPr/>
                  </pic:nvPicPr>
                  <pic:blipFill>
                    <a:blip r:embed="rId636167426effcfa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Bulgaria, Czech Republic, Estonia, Finland, Georgia, Germany, Greece (mainland, Kriti), Hungary, Kazakhstan, Latvia, Lithuania, Norway, Poland, Romania, Russia (Central Russia, Eastern Siberia, Northern Russia, Western Siberia), Slovakia, Spain (mainland), Sweden, Türkiye,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Heilongjiang, Henan, Jiangsu, Ningxia, Shaanxi, Yunnan, Zhejiang), Japan, Kazakhstan, Korea Dem. People's Republic, Korea, Republic, Nepal, Pakistan, Taiwan,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(Colorado, Idaho, Kansas, Maine, New York, North Dakota,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pathway of introduction of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is through infected seed potatoes. True potato seeds might also be a source of infection if they come in contact with contaminated tools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After a diseased seed potato is planted, the bacteria multiply very rapidly and pass along the vascular strands into the stems and petioles. From there they reach the roots and maturing daughter tubers, sometimes within 8 weeks after planting. The daughter tubers may themselves be used as seed potatoes and perpetuate the disease.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does generally not survive in the soil during winter. The bacterium can, however, survive and remain infectious on potato bags, barn walls, machinery and other equipment and in volunteer plants from an infected crop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Survival is longest in cold dry conditions.</w:t>
      </w:r>
      <w:r>
        <w:rPr>
          <w:rFonts w:ascii="Calibri" w:hAnsi="Calibri" w:eastAsia="Calibri" w:cs="Calibri"/>
          <w:i/>
          <w:iCs/>
          <w:color w:val="000000"/>
          <w:sz w:val="22"/>
          <w:szCs w:val="22"/>
        </w:rPr>
        <w:t xml:space="preserve"> C</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is relatively vulnerable to higher temperatures (&gt;55°C) suggesting that compost may not be a major inoculum source. However, survival of the bacterium inside protective plant tissue during the composting process might occur and the use of residues from potato processing in agriculture is therefore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The bacterium remains infectious at and above freezing temperatures for at least 18 months on burlap and for 63 months in infected potato stems (Nelson, 1985). If volunteer plants from a previously infected crop are lifted with an otherwise healthy seed potato crop, that crop can be infected.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has a relatively low optimal growth temperature (21-23°C) and therefore it is mainly confined to cooler areas of the world (see Geographical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shown by infected plants are rather variable and, because they usually appear late in the growing season, may be mistaken for late blight (</w:t>
      </w:r>
      <w:r>
        <w:rPr>
          <w:rFonts w:ascii="Calibri" w:hAnsi="Calibri" w:eastAsia="Calibri" w:cs="Calibri"/>
          <w:i/>
          <w:iCs/>
          <w:color w:val="000000"/>
          <w:sz w:val="22"/>
          <w:szCs w:val="22"/>
        </w:rPr>
        <w:t xml:space="preserve">Phytophthora infestans</w:t>
      </w:r>
      <w:r>
        <w:rPr>
          <w:rFonts w:ascii="Calibri" w:hAnsi="Calibri" w:eastAsia="Calibri" w:cs="Calibri"/>
          <w:color w:val="000000"/>
          <w:sz w:val="22"/>
          <w:szCs w:val="22"/>
        </w:rPr>
        <w:t xml:space="preserve">), Verticillium wilt (</w:t>
      </w:r>
      <w:r>
        <w:rPr>
          <w:rFonts w:ascii="Calibri" w:hAnsi="Calibri" w:eastAsia="Calibri" w:cs="Calibri"/>
          <w:i/>
          <w:iCs/>
          <w:color w:val="000000"/>
          <w:sz w:val="22"/>
          <w:szCs w:val="22"/>
        </w:rPr>
        <w:t xml:space="preserve">Verticillium albo-atrum, Verticillium dahliae</w:t>
      </w:r>
      <w:r>
        <w:rPr>
          <w:rFonts w:ascii="Calibri" w:hAnsi="Calibri" w:eastAsia="Calibri" w:cs="Calibri"/>
          <w:color w:val="000000"/>
          <w:sz w:val="22"/>
          <w:szCs w:val="22"/>
        </w:rPr>
        <w:t xml:space="preserve">), stem canker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or those caused by drought. The first symptoms of wilting develop in lower leaves, either all around the plant or only on one side of one stem. The margins of the leaves roll inwards and upwards and the surface loses its light shiny appearance. Leaves become progressively dull light-green, then grey-green with occasional mottling, then yellow and finally brown and necrotic. When infected stems are cut across, discoloration of vascular tissue is not obvious. Symptom formation is enhanced by hot, dry weather conditions (De Boer &amp; Slack, 1984;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Tuber symptoms may be confused with those caused by the bacterium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(EFSA, 2019). Tuber infection occurs through the stolon. Early infections can be observed, when the tuber is cut across the heel end, as narrow glassy to cream-yellow zones along the vascular tissue near the stolon end. In the case of more advanced infections this narrow yellowish to light-brown zone surrounds all the vascular tissue. In later stages the vascular ring and the discoloured zone become soft. Characteristically, upon squeezing, the tissue outside the vascular ring is easily separated from the inner tissues and creamy, cheese-like ribbons of odourless bacterial ooze with macerated tissue are expelled. In these advanced stages, external symptoms may also be observed, consisting of reddish to brown blotches around the eyes. The skin shows irregular, often star-shaped cracks. These cracked tubers are very susceptible to secondary soft-rot micro-organisms which obscure the ring rot symptoms (De Boer &amp; Slack, 1984;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Whitworth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Mild infections in both susceptible and tolerant potato cultivars may cause so-called latent infections of daughter tubers. Latent infections can only be traced by laboratory testing (see Detection and inspection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non-spore forming, non-motile, Gram-positive rod-shaped bacterium that forms white mucoid colonies (Hayward &amp; Waterston, 1964;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for the presence of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in a country or area not known to have potato ring rot, is usually based on a systematic detection survey. Specific guidance on the sampling of potato tubers in store or in the field (shortly before harvest) is given in the EPPO Standards PM 9/2 National regulatory control systems for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(EPPO, 2011),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(EPPO, 2019a) and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Additionally, samples may be inspected visually by cutting tubers at the stolon end, and growing potato crops may be visually inspected at appropriate times for typical signs and symptoms of the disease. It should be considered that under European climatic conditions, above ground symptoms are rarely found and then often only at the end of the season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symptoms of ring rot are variable and sometimes masked by other diseases, and because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often is present without causing symptoms, ring rot can be confirmed only by laboratory testing.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a slow-growing bacterium and therefore when isolating the bacterium an enrichment step is often necessary to prevent it being overgrown by other bacteria. This can be done by inoculating specific eggplant varieties with potato extracts so the bacterium can multiply inside this plant. Subsequent isolation and purification steps are strongly facilitated by this step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w:t>
      </w:r>
    </w:p>
    <w:p>
      <w:pPr>
        <w:widowControl w:val="on"/>
        <w:pBdr/>
        <w:spacing w:before="220" w:after="220" w:line="240" w:lineRule="auto"/>
        <w:ind w:left="0" w:right="0"/>
        <w:jc w:val="both"/>
      </w:pPr>
      <w:r>
        <w:rPr>
          <w:rFonts w:ascii="Calibri" w:hAnsi="Calibri" w:eastAsia="Calibri" w:cs="Calibri"/>
          <w:color w:val="000000"/>
          <w:sz w:val="22"/>
          <w:szCs w:val="22"/>
        </w:rPr>
        <w:t xml:space="preserve">An immunofluorescence test and several molecular tests have been widely implemented in diagnostic laboratories to detect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Due to specificity problems observed in some cases, it is important to use a second test for detection, based on a different biological principle or on a different part of the genome, to confirm a positive result in the first detection test (EFSA, 2019; EPPO, 2022;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The conventional PCR based test by Pastrik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several real-time PCR tests have been shown to perform well in recent test performance studies (Vaerenbergh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Among the real time PCR tests the one of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as well as the more recently developed real time PCR tests (Gudmestad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Massart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Vreeburg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exhibit high analytical sensitivity and analytical specificity and have been implemented in diagnostic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An updated version of the EPPO diagnostic protocol for the bacterium, providing details on the detection and identification tests is availabel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Important means of spread are the planting of infected seed potatoes and contamination of containers, equipment and premises. When seed potatoes are cut before planting the cutting knife is an important dispersal unit: after cutting an infected tuber, 20-30 healthy tubers may be infected. Planters and graders which have been contaminated by bacteria from a few highly infected potatoes are also a potent infection source. Spread in the field from plant to plant is usually very low, but there is experimental evidence that some insects, including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leafhoppers and aphids can transmit the disease (Christie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Duncan &amp; Généreux, 1960; Mansfeld-Giese,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destruction of vascular tissues and subsequent wilting and dying of plants and secondary rotting of tubers. In the past crop losses have been mainly reported from North America (up to 50%; Easton, 1979) and Russia (15-30% of plants infected, up to 47% crop loss; Muller &amp; Ficke, 1974). Where ring rot occurs in the EPPO region, the disease appears more sporadically and at low levels of infection. However, a single infected tuber can already have a large economic impact. The economic impact can be caused by direct crop losses, by rejection of infected lots and by loss of (potential) export markets (Van der Wolf</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moment there is no method of direct chemical or biological control available. Breeding for resistance produced in the past some tolerant cultivars, which are not used much (Manzer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Manzer &amp; McKenzie, 1988). The most important methods of control are production of disease-free seed potatoes following strict certification and testing schemes (Nelson, 1985; EPPO, 1999) and sanitation (Lynch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crop rotation and weed/volunteer control are important preventive measures (EFSA, 2019; EPPO, 2020).  Since the bacterium might be present in mixed soil from potato handling facilities, soil should only be returned to agricultural fields if the risk is considered acceptable. Conditions for returning soil to a place of production used to grow potatoes are described in draft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in press).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Since the bacterium might survive inside protective plant tissue during the composting process, the use of residues from potato processing in agriculture is not recommended (Steinmöller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Disinfection is not part of routine hygiene measures but is obligatory after </w:t>
      </w:r>
      <w:r>
        <w:rPr>
          <w:rFonts w:ascii="Calibri" w:hAnsi="Calibri" w:eastAsia="Calibri" w:cs="Calibri"/>
          <w:i/>
          <w:iCs/>
          <w:color w:val="000000"/>
          <w:sz w:val="22"/>
          <w:szCs w:val="22"/>
        </w:rPr>
        <w:t xml:space="preserve">C. sepedonicus </w:t>
      </w:r>
      <w:r>
        <w:rPr>
          <w:rFonts w:ascii="Calibri" w:hAnsi="Calibri" w:eastAsia="Calibri" w:cs="Calibri"/>
          <w:color w:val="000000"/>
          <w:sz w:val="22"/>
          <w:szCs w:val="22"/>
        </w:rPr>
        <w:t xml:space="preserve">has been detected. EPPO developed a Standard that describes the cleaning and disinfection procedures in the potato production chain (EPPO, 2006). The efficacy of several chemical disinfection methods on different surfaces has been investigated (Howard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More specifically, disinfection of wooden potato crates with a product containing sodium-</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-toluenesulfochloramide has been shown to be effective (Stevens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seed-potato-producing countries in the EPPO region are free from the pest, as well as most Mediterranean countries exporting ware potatoes towards Northern European countries. The pathogen is likely to be able to establish wherever climatic conditions are favorable for the pathogen and potatoes are grown and to become increasingly widespread. While the direct economic impact of ring rot may only be moderate, especially with modern production systems, it would constitute a major extra constraint on seed potato production in countries where it does not occur, with considerable indirect effects on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Ring rot can occur at low levels in potato production systems and can cause latent infection of tubers. Therefore, phytosanitary measures focusing on potato consignments only are inadequate. Measures have to be implemented for the whole production system, i.e. on the material from which potato consignments are derived and at the place/site or area of production. For seed potatoes, in particular, they involve a series of multiple checks, each of which is considered by itself insufficient.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countries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or which have implemented eradication or containment measures according to PM 9/2 (EPPO, 2011),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2019b), or the exporting country should have implemented an official regulatory control system according to EPPO Standard PM 9/2 (EPPO, 2011). If potatoes are imported from a country where </w:t>
      </w:r>
      <w:r>
        <w:rPr>
          <w:rFonts w:ascii="Calibri" w:hAnsi="Calibri" w:eastAsia="Calibri" w:cs="Calibri"/>
          <w:i/>
          <w:iCs/>
          <w:color w:val="000000"/>
          <w:sz w:val="22"/>
          <w:szCs w:val="22"/>
        </w:rPr>
        <w:t xml:space="preserve">C. sepedonicus</w:t>
      </w:r>
      <w:r>
        <w:rPr>
          <w:rFonts w:ascii="Calibri" w:hAnsi="Calibri" w:eastAsia="Calibri" w:cs="Calibri"/>
          <w:color w:val="000000"/>
          <w:sz w:val="22"/>
          <w:szCs w:val="22"/>
        </w:rPr>
        <w:t xml:space="preserve"> is not known to occur, the absence should be confirmed by a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2018). In addition, post-entry quarantine programs are established to allow safe movement of potato germplasm for research and breeding purposes (EPPO, 2019c).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WM, Gudmestad NC, Secor GA &amp; Nolte P (1987) Sugar beet as a symptomless host for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765-770.</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Christie RD, Sumalde AC, Schulz JT &amp; Gudmestad NC (1991) Insect transmission of the bacterial ring rot pathogen.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&amp; Harris RW (1984)</w:t>
      </w:r>
      <w:r>
        <w:rPr>
          <w:rFonts w:ascii="Calibri" w:hAnsi="Calibri" w:eastAsia="Calibri" w:cs="Calibri"/>
          <w:i/>
          <w:iCs/>
          <w:color w:val="000000"/>
          <w:sz w:val="22"/>
          <w:szCs w:val="22"/>
        </w:rPr>
        <w:t xml:space="preserve"> 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De Boer SH &amp; Slack SA (1984) Current status and prospects for detecting and controlling bacterial ring rot of potatoes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841-844.</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 &amp; Généreux H (1960) La transmission par les insectes de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Easton GD (1979) The biology and epidemiology of potato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EFSA Panel on Plant Health: Bragard C, Dehnen‐Schmutz K, Di Serio F, Gonthier P, Jaques Miret JA, Justesen AF, Macleod A, Magnusson CS, Milonas P, Navas‐Cortes J, Parnell S, Potting R, Reignault PL, Thulke HH, Van Der Werf W, Vicent Civera A, Yuen J, Zappalà L, Van Der Wolf J, Kaluski T, Pautasso M &amp; Jacques M. Pest categorisation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714167426effd0b0e"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Diagnostics. EPPO Standard PM 7/59 (2) </w:t>
      </w:r>
      <w:r>
        <w:rPr>
          <w:rFonts w:ascii="Calibri" w:hAnsi="Calibri" w:eastAsia="Calibri" w:cs="Calibri"/>
          <w:i/>
          <w:iCs/>
          <w:color w:val="000000"/>
          <w:sz w:val="22"/>
          <w:szCs w:val="22"/>
        </w:rPr>
        <w:t xml:space="preserve">Clavibacter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262–285. Available at </w:t>
      </w:r>
      <w:hyperlink r:id="rId408967426effd0bb2"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Phytosanitary treatments. EPPO Standard PM 10/1 (1) Disinfection procedures in potato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463-466. Available at </w:t>
      </w:r>
      <w:hyperlink r:id="rId292067426effd0c2f" w:history="1">
        <w:r>
          <w:rPr>
            <w:rFonts w:ascii="Calibri" w:hAnsi="Calibri" w:eastAsia="Calibri" w:cs="Calibri"/>
            <w:color w:val="0000CC"/>
            <w:sz w:val="22"/>
            <w:szCs w:val="22"/>
            <w:u w:val="single"/>
          </w:rPr>
          <w:t xml:space="preserve">https://gd.eppo.int/standards/PM10/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EPPO Standard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74867426effd0cd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National regulatory control systems. EPPO Standard PM 9/2 (2)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385-388. Available at </w:t>
      </w:r>
      <w:hyperlink r:id="rId907767426effd0d8c"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03867426effd0e07" w:history="1">
        <w:r>
          <w:rPr>
            <w:rFonts w:ascii="Calibri" w:hAnsi="Calibri" w:eastAsia="Calibri" w:cs="Calibri"/>
            <w:color w:val="0000CC"/>
            <w:sz w:val="22"/>
            <w:szCs w:val="22"/>
            <w:u w:val="single"/>
          </w:rPr>
          <w:t xml:space="preserve">https://gd.eppo.int/taxon/CORBSE/documents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EPPO Standard PM 3/70 </w:t>
      </w:r>
      <w:r>
        <w:rPr>
          <w:rFonts w:ascii="Calibri" w:hAnsi="Calibri" w:eastAsia="Calibri" w:cs="Calibri"/>
          <w:i/>
          <w:iCs/>
          <w:color w:val="000000"/>
          <w:sz w:val="22"/>
          <w:szCs w:val="22"/>
        </w:rPr>
        <w:t xml:space="preserve">Export certification and import compliance checking for potato tubers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423-424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597867426effd0eba"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594067426effd0f1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Phytosanitary procedures.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78867426effd0f97"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Phytosanitary procedures.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394767426effd1013"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Diagnostics. EPPO Standard PM 7/59(2)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press) Phytosanitary procedures. EPPO Standard PM 3/92 (1)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Gudmestad NC, Mallik I, Pasche JS, Anderson NR &amp; Kinzer K (2009) A Real-Time PCR assay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based on the cellulase A gene sequence.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649-659.</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Corynebacterium sepedonicum. </w:t>
      </w:r>
      <w:r>
        <w:rPr>
          <w:rFonts w:ascii="Calibri" w:hAnsi="Calibri" w:eastAsia="Calibri" w:cs="Calibri"/>
          <w:i/>
          <w:iCs/>
          <w:color w:val="000000"/>
          <w:sz w:val="22"/>
          <w:szCs w:val="22"/>
        </w:rPr>
        <w:t xml:space="preserve">IMI Description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RJ, Harding MW, Daniels GC, Mobbs SL, Lisowski SLI &amp; De Boer SH (2015) Efficacy of agricultural disinfectants on biofilms of the bacterial ring rot pathogen,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Ignatov AN, Panycheva JS, Spechenkova N &amp; Taliansky M (2018) First report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infecting sugar beet in Russia.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6 Surveillance. Rome, IPPC, FAO. Available at </w:t>
      </w:r>
      <w:hyperlink r:id="rId531367426effd1351"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(1948) Suscept range of the potato ring rot bacterium.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361-371.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DR, Nelson GA &amp; Kulcsar F (1989) Elimination of bacterial ring rot (</w:t>
      </w:r>
      <w:r>
        <w:rPr>
          <w:rFonts w:ascii="Calibri" w:hAnsi="Calibri" w:eastAsia="Calibri" w:cs="Calibri"/>
          <w:i/>
          <w:iCs/>
          <w:color w:val="000000"/>
          <w:sz w:val="22"/>
          <w:szCs w:val="22"/>
        </w:rPr>
        <w:t xml:space="preserve">Corynebacterium sepedonicum </w:t>
      </w:r>
      <w:r>
        <w:rPr>
          <w:rFonts w:ascii="Calibri" w:hAnsi="Calibri" w:eastAsia="Calibri" w:cs="Calibri"/>
          <w:color w:val="000000"/>
          <w:sz w:val="22"/>
          <w:szCs w:val="22"/>
        </w:rPr>
        <w:t xml:space="preserve">[Spieck. and Kotth.] Skapt. and Burkh.) by in vitro culture of sprout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Mansfeld-Giese K (1997) Plant-to-plant transmission of the bacterial ring rot pathogen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Gudmestad NC &amp; Nelson GA (1987) Factors affecting infection, disease development, and symptom expression of bacterial ring rot.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671-676.</w:t>
      </w:r>
    </w:p>
    <w:p>
      <w:pPr>
        <w:widowControl w:val="on"/>
        <w:pBdr/>
        <w:spacing w:before="220" w:after="220" w:line="240" w:lineRule="auto"/>
        <w:ind w:left="0" w:right="0"/>
        <w:jc w:val="left"/>
      </w:pPr>
      <w:r>
        <w:rPr>
          <w:rFonts w:ascii="Calibri" w:hAnsi="Calibri" w:eastAsia="Calibri" w:cs="Calibri"/>
          <w:color w:val="000000"/>
          <w:sz w:val="22"/>
          <w:szCs w:val="22"/>
        </w:rPr>
        <w:t xml:space="preserve">Manzer FE &amp; McKenzie AR (1988) Cultivar response to bacterial ring rot infection in Maine.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Massart S, Nagy C &amp; Jijakli MH (2014) Development of the simultaneous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and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a multiplex real-time PCR assay.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HJ &amp; Ficke W (1974) [Bacterial ring rot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a dangerous quarantine disease for potato cultivation.]. </w:t>
      </w:r>
      <w:r>
        <w:rPr>
          <w:rFonts w:ascii="Calibri" w:hAnsi="Calibri" w:eastAsia="Calibri" w:cs="Calibri"/>
          <w:i/>
          <w:iCs/>
          <w:color w:val="000000"/>
          <w:sz w:val="22"/>
          <w:szCs w:val="22"/>
        </w:rPr>
        <w:t xml:space="preserve">Nachrichtenblatt für den Pflanzenschutz in der DDR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159-160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GA (1985) Survival of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in potato stems and on surfaces held at freezing and above-freezing temperatures.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Pastrik KH (2000)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multiplex PCR with coamplification of host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Berthier-Schaad Y, Sechler A &amp; Knorr D (1999)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by BIO-PCR and an automated real-time fluorescence detection 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1095-1100.</w:t>
      </w:r>
    </w:p>
    <w:p>
      <w:pPr>
        <w:widowControl w:val="on"/>
        <w:pBdr/>
        <w:spacing w:before="220" w:after="220" w:line="240" w:lineRule="auto"/>
        <w:ind w:left="0" w:right="0"/>
        <w:jc w:val="left"/>
      </w:pPr>
      <w:r>
        <w:rPr>
          <w:rFonts w:ascii="Calibri" w:hAnsi="Calibri" w:eastAsia="Calibri" w:cs="Calibri"/>
          <w:color w:val="000000"/>
          <w:sz w:val="22"/>
          <w:szCs w:val="22"/>
        </w:rPr>
        <w:t xml:space="preserve">Steinmöller S, Müller P, Bandte M &amp; Büttner C (2013) Risk of dissemination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with potato waste.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573-584.</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Lamers JG, Van Der Zouwen PS, Mendes O, Van Den Berg W, Tjou-Tam-Sin NNA, Jilesen CJTJ, Spoorenberg PM &amp; Van Der Wolf JM (2017) Chemical eradication of the ring rot bacterium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on potato storage crates.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LH, Tom JY, van der Zouwen PS, Mendes O, Poleij LM &amp; van der Wolf JM (2021) Effect of temperature treatments on the viability of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in infected potato tissue.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Müller P, Elphinstone JG, Vreeburg RAM &amp; Janse JD (2017) Euphresco inter‐laboratory comparison (2009–2012) on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proposal to inc.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24-32.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(2015) Pest Risk Analysis EU internal movement of true potato seed (TPS) of registered TPS varieties: probability of association of regulated pests and analysis of risk reduction options. </w:t>
      </w:r>
      <w:r>
        <w:rPr>
          <w:rFonts w:ascii="Calibri" w:hAnsi="Calibri" w:eastAsia="Calibri" w:cs="Calibri"/>
          <w:i/>
          <w:iCs/>
          <w:color w:val="000000"/>
          <w:sz w:val="22"/>
          <w:szCs w:val="22"/>
        </w:rPr>
        <w:t xml:space="preserve">Netherlands Food and Consumer Product Safety Authority</w:t>
      </w:r>
      <w:r>
        <w:rPr>
          <w:rFonts w:ascii="Calibri" w:hAnsi="Calibri" w:eastAsia="Calibri" w:cs="Calibri"/>
          <w:color w:val="000000"/>
          <w:sz w:val="22"/>
          <w:szCs w:val="22"/>
        </w:rPr>
        <w:t xml:space="preserve">, 1-41. Available at </w:t>
      </w:r>
      <w:hyperlink r:id="rId163667426effd1be2" w:history="1">
        <w:r>
          <w:rPr>
            <w:rFonts w:ascii="Calibri" w:hAnsi="Calibri" w:eastAsia="Calibri" w:cs="Calibri"/>
            <w:color w:val="0000CC"/>
            <w:sz w:val="22"/>
            <w:szCs w:val="22"/>
            <w:u w:val="single"/>
          </w:rPr>
          <w:t xml:space="preserve">https://pra.eppo.int/getfile/40de6c9d-aa1d-4a0d-93f8-8b420ba1ddff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Beckhoven JRCM, Hukkanen A, Karjalainen R &amp; Muller P (2005a) Fate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the causal organism of bacterial ring rot of potato, in weeds and field crops.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358-365.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Elphinstone JG, Stead DE, Metzler M, Müller P, Hukkanen A &amp; Karjalainen R (2005b) Epidemiology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relation to control of bacterial ring rot. </w:t>
      </w:r>
      <w:r>
        <w:rPr>
          <w:rFonts w:ascii="Calibri" w:hAnsi="Calibri" w:eastAsia="Calibri" w:cs="Calibri"/>
          <w:i/>
          <w:iCs/>
          <w:color w:val="000000"/>
          <w:sz w:val="22"/>
          <w:szCs w:val="22"/>
        </w:rPr>
        <w:t xml:space="preserve">Plant Research International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1-44.</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De Paepe B, Hoedekie A, Van Malderghem C, Zaluga J, De Vos P &amp; Maes M (2016) Natural infection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Bergsma-Vlami M, Bollema RM, De Haan EG, Kooman-Gersmann M, Smits-Mastebroek L, Tameling WIL, Tjou-Tam-Sin NNA, Van De Vossenberg BTLH &amp; Janse JD (2016) Performance of real-time PCR and immunofluorescence for the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sepedonicus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potato tubers in routine testing.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112-121.</w:t>
      </w:r>
    </w:p>
    <w:p>
      <w:pPr>
        <w:widowControl w:val="on"/>
        <w:pBdr/>
        <w:spacing w:before="220" w:after="220" w:line="240" w:lineRule="auto"/>
        <w:ind w:left="0" w:right="0"/>
        <w:jc w:val="left"/>
      </w:pPr>
      <w:r>
        <w:rPr>
          <w:rFonts w:ascii="Calibri" w:hAnsi="Calibri" w:eastAsia="Calibri" w:cs="Calibri"/>
          <w:color w:val="000000"/>
          <w:sz w:val="22"/>
          <w:szCs w:val="22"/>
        </w:rPr>
        <w:t xml:space="preserve">Vreeburg RAM, Zendman AJW, Pol A, Verheij E, Nas M &amp; Kooman-Gersmann M (2018) Validation of four real-time TaqMan PCRs for the detection of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Ralstonia pseudosolanacearum </w:t>
      </w:r>
      <w:r>
        <w:rPr>
          <w:rFonts w:ascii="Calibri" w:hAnsi="Calibri" w:eastAsia="Calibri" w:cs="Calibri"/>
          <w:color w:val="000000"/>
          <w:sz w:val="22"/>
          <w:szCs w:val="22"/>
        </w:rPr>
        <w:t xml:space="preserve">and/or</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in potato tubers using a statistical regression approach.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86-96.</w:t>
      </w:r>
    </w:p>
    <w:p>
      <w:pPr>
        <w:widowControl w:val="on"/>
        <w:pBdr/>
        <w:spacing w:before="220" w:after="220" w:line="240" w:lineRule="auto"/>
        <w:ind w:left="0" w:right="0"/>
        <w:jc w:val="left"/>
      </w:pPr>
      <w:r>
        <w:rPr>
          <w:rFonts w:ascii="Calibri" w:hAnsi="Calibri" w:eastAsia="Calibri" w:cs="Calibri"/>
          <w:color w:val="000000"/>
          <w:sz w:val="22"/>
          <w:szCs w:val="22"/>
        </w:rPr>
        <w:t xml:space="preserve">Whitworth JL, Selstedt RA, Westra AAG, Nolte P, Duellman K, Yellareddygari SKR &amp; Gudmestad NC (2019) Symptom expression of mainstream and specialty potato cultivars to bacterial ring rot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and evaluation of in-field detection.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427-444.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sepedonicus</w:t>
      </w:r>
      <w:r>
        <w:rPr>
          <w:rFonts w:ascii="Calibri" w:hAnsi="Calibri" w:eastAsia="Calibri" w:cs="Calibri"/>
          <w:color w:val="000000"/>
          <w:sz w:val="22"/>
          <w:szCs w:val="22"/>
        </w:rPr>
        <w:t xml:space="preserve"> </w:t>
      </w:r>
      <w:hyperlink r:id="rId711867426effd22e6" w:history="1">
        <w:r>
          <w:rPr>
            <w:rFonts w:ascii="Calibri" w:hAnsi="Calibri" w:eastAsia="Calibri" w:cs="Calibri"/>
            <w:color w:val="0000CC"/>
            <w:sz w:val="22"/>
            <w:szCs w:val="22"/>
            <w:u w:val="single"/>
          </w:rPr>
          <w:t xml:space="preserve">https://doi.org/10.2903/sp.efsa.2019.EN-1569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Clavibacter sepedonicus</w:t>
      </w:r>
      <w:r>
        <w:rPr>
          <w:rFonts w:ascii="Calibri" w:hAnsi="Calibri" w:eastAsia="Calibri" w:cs="Calibri"/>
          <w:color w:val="000000"/>
          <w:sz w:val="22"/>
          <w:szCs w:val="22"/>
        </w:rPr>
        <w:t xml:space="preserve">. EPPO datasheets on pests recommended for regulation. Available online. </w:t>
      </w:r>
      <w:hyperlink r:id="rId452467426effd23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51: </w:t>
      </w:r>
      <w:r>
        <w:rPr>
          <w:rFonts w:ascii="Calibri" w:hAnsi="Calibri" w:eastAsia="Calibri" w:cs="Calibri"/>
          <w:i/>
          <w:iCs/>
          <w:color w:val="000000"/>
          <w:sz w:val="22"/>
          <w:szCs w:val="22"/>
        </w:rPr>
        <w:t xml:space="preserve">Corynebacterium sepedonicum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25-29. </w:t>
      </w:r>
      <w:hyperlink r:id="rId411967426effd253d" w:history="1">
        <w:r>
          <w:rPr>
            <w:rFonts w:ascii="Calibri" w:hAnsi="Calibri" w:eastAsia="Calibri" w:cs="Calibri"/>
            <w:color w:val="0000CC"/>
            <w:sz w:val="22"/>
            <w:szCs w:val="22"/>
            <w:u w:val="single"/>
          </w:rPr>
          <w:t xml:space="preserve">https://doi.org/10.1111/j.1365-2338.1978.tb02765.x</w:t>
        </w:r>
      </w:hyperlink>
      <w:r>
        <w:rPr>
          <w:rFonts w:ascii="Calibri" w:hAnsi="Calibri" w:eastAsia="Calibri" w:cs="Calibri"/>
          <w:color w:val="000000"/>
          <w:sz w:val="22"/>
          <w:szCs w:val="22"/>
        </w:rPr>
        <w:t xml:space="preserve"> </w:t>
      </w:r>
    </w:p>
    <w:p>
      <w:r>
        <w:drawing>
          <wp:inline distT="0" distB="0" distL="0" distR="0">
            <wp:extent cx="1800000" cy="604800"/>
            <wp:docPr id="37000136" name="name461067426effd27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3867426effd27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725596">
    <w:multiLevelType w:val="hybridMultilevel"/>
    <w:lvl w:ilvl="0" w:tplc="81546804">
      <w:start w:val="1"/>
      <w:numFmt w:val="decimal"/>
      <w:lvlText w:val="%1."/>
      <w:lvlJc w:val="left"/>
      <w:pPr>
        <w:ind w:left="720" w:hanging="360"/>
      </w:pPr>
    </w:lvl>
    <w:lvl w:ilvl="1" w:tplc="81546804" w:tentative="1">
      <w:start w:val="1"/>
      <w:numFmt w:val="lowerLetter"/>
      <w:lvlText w:val="%2."/>
      <w:lvlJc w:val="left"/>
      <w:pPr>
        <w:ind w:left="1440" w:hanging="360"/>
      </w:pPr>
    </w:lvl>
    <w:lvl w:ilvl="2" w:tplc="81546804" w:tentative="1">
      <w:start w:val="1"/>
      <w:numFmt w:val="lowerRoman"/>
      <w:lvlText w:val="%3."/>
      <w:lvlJc w:val="right"/>
      <w:pPr>
        <w:ind w:left="2160" w:hanging="180"/>
      </w:pPr>
    </w:lvl>
    <w:lvl w:ilvl="3" w:tplc="81546804" w:tentative="1">
      <w:start w:val="1"/>
      <w:numFmt w:val="decimal"/>
      <w:lvlText w:val="%4."/>
      <w:lvlJc w:val="left"/>
      <w:pPr>
        <w:ind w:left="2880" w:hanging="360"/>
      </w:pPr>
    </w:lvl>
    <w:lvl w:ilvl="4" w:tplc="81546804" w:tentative="1">
      <w:start w:val="1"/>
      <w:numFmt w:val="lowerLetter"/>
      <w:lvlText w:val="%5."/>
      <w:lvlJc w:val="left"/>
      <w:pPr>
        <w:ind w:left="3600" w:hanging="360"/>
      </w:pPr>
    </w:lvl>
    <w:lvl w:ilvl="5" w:tplc="81546804" w:tentative="1">
      <w:start w:val="1"/>
      <w:numFmt w:val="lowerRoman"/>
      <w:lvlText w:val="%6."/>
      <w:lvlJc w:val="right"/>
      <w:pPr>
        <w:ind w:left="4320" w:hanging="180"/>
      </w:pPr>
    </w:lvl>
    <w:lvl w:ilvl="6" w:tplc="81546804" w:tentative="1">
      <w:start w:val="1"/>
      <w:numFmt w:val="decimal"/>
      <w:lvlText w:val="%7."/>
      <w:lvlJc w:val="left"/>
      <w:pPr>
        <w:ind w:left="5040" w:hanging="360"/>
      </w:pPr>
    </w:lvl>
    <w:lvl w:ilvl="7" w:tplc="81546804" w:tentative="1">
      <w:start w:val="1"/>
      <w:numFmt w:val="lowerLetter"/>
      <w:lvlText w:val="%8."/>
      <w:lvlJc w:val="left"/>
      <w:pPr>
        <w:ind w:left="5760" w:hanging="360"/>
      </w:pPr>
    </w:lvl>
    <w:lvl w:ilvl="8" w:tplc="81546804" w:tentative="1">
      <w:start w:val="1"/>
      <w:numFmt w:val="lowerRoman"/>
      <w:lvlText w:val="%9."/>
      <w:lvlJc w:val="right"/>
      <w:pPr>
        <w:ind w:left="6480" w:hanging="180"/>
      </w:pPr>
    </w:lvl>
  </w:abstractNum>
  <w:abstractNum w:abstractNumId="78725595">
    <w:multiLevelType w:val="hybridMultilevel"/>
    <w:lvl w:ilvl="0" w:tplc="821769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725595">
    <w:abstractNumId w:val="78725595"/>
  </w:num>
  <w:num w:numId="78725596">
    <w:abstractNumId w:val="787255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3229360" Type="http://schemas.microsoft.com/office/2011/relationships/commentsExtended" Target="commentsExtended.xml"/><Relationship Id="rId491454649" Type="http://schemas.microsoft.com/office/2011/relationships/people" Target="people.xml"/><Relationship Id="rId104467426effcdb47" Type="http://schemas.openxmlformats.org/officeDocument/2006/relationships/hyperlink" Target="https://gd.eppo.int/taxon/CORBSE/" TargetMode="External"/><Relationship Id="rId635867426effcdbb0" Type="http://schemas.openxmlformats.org/officeDocument/2006/relationships/hyperlink" Target="https://gd.eppo.int/taxon/CORBSE/categorization" TargetMode="External"/><Relationship Id="rId676167426effce757" Type="http://schemas.openxmlformats.org/officeDocument/2006/relationships/hyperlink" Target="https://gd.eppo.int/taxon/CORBSE/photos" TargetMode="External"/><Relationship Id="rId714167426effd0b0e" Type="http://schemas.openxmlformats.org/officeDocument/2006/relationships/hyperlink" Target="https://gd.eppo.int/taxon/PSTVD0/documents" TargetMode="External"/><Relationship Id="rId408967426effd0bb2" Type="http://schemas.openxmlformats.org/officeDocument/2006/relationships/hyperlink" Target="https://gd.eppo.int/standards/PM7/" TargetMode="External"/><Relationship Id="rId292067426effd0c2f" Type="http://schemas.openxmlformats.org/officeDocument/2006/relationships/hyperlink" Target="https://gd.eppo.int/standards/PM10/" TargetMode="External"/><Relationship Id="rId774867426effd0cd3" Type="http://schemas.openxmlformats.org/officeDocument/2006/relationships/hyperlink" Target="https://gd.eppo.int/standards/PM3/" TargetMode="External"/><Relationship Id="rId907767426effd0d8c" Type="http://schemas.openxmlformats.org/officeDocument/2006/relationships/hyperlink" Target="https://gd.eppo.int/standards/PM9/" TargetMode="External"/><Relationship Id="rId903867426effd0e07" Type="http://schemas.openxmlformats.org/officeDocument/2006/relationships/hyperlink" Target="https://gd.eppo.int/taxon/CORBSE/documents" TargetMode="External"/><Relationship Id="rId597867426effd0eba" Type="http://schemas.openxmlformats.org/officeDocument/2006/relationships/hyperlink" Target="https://gd.eppo.int/standards/PM3/" TargetMode="External"/><Relationship Id="rId594067426effd0f1d" Type="http://schemas.openxmlformats.org/officeDocument/2006/relationships/hyperlink" Target="https://gd.eppo.int/standards/PM3/" TargetMode="External"/><Relationship Id="rId878867426effd0f97" Type="http://schemas.openxmlformats.org/officeDocument/2006/relationships/hyperlink" Target="https://gd.eppo.int/standards/PM3/" TargetMode="External"/><Relationship Id="rId394767426effd1013" Type="http://schemas.openxmlformats.org/officeDocument/2006/relationships/hyperlink" Target="https://gd.eppo.int/standards/PM3/" TargetMode="External"/><Relationship Id="rId531367426effd1351" Type="http://schemas.openxmlformats.org/officeDocument/2006/relationships/hyperlink" Target="https://www.ippc.int/en/core-activities/standards-setting/ispms/" TargetMode="External"/><Relationship Id="rId163667426effd1be2" Type="http://schemas.openxmlformats.org/officeDocument/2006/relationships/hyperlink" Target="https://pra.eppo.int/getfile/40de6c9d-aa1d-4a0d-93f8-8b420ba1ddff" TargetMode="External"/><Relationship Id="rId711867426effd22e6" Type="http://schemas.openxmlformats.org/officeDocument/2006/relationships/hyperlink" Target="https://doi.org/10.2903/sp.efsa.2019.EN-1569" TargetMode="External"/><Relationship Id="rId452467426effd23b1" Type="http://schemas.openxmlformats.org/officeDocument/2006/relationships/hyperlink" Target="https://gd.eppo.int" TargetMode="External"/><Relationship Id="rId411967426effd253d" Type="http://schemas.openxmlformats.org/officeDocument/2006/relationships/hyperlink" Target="https://doi.org/10.1111/j.1365-2338.1978.tb02765.x" TargetMode="External"/><Relationship Id="rId399167426effce617" Type="http://schemas.openxmlformats.org/officeDocument/2006/relationships/image" Target="media/imgrId399167426effce617.jpg"/><Relationship Id="rId636167426effcfafc" Type="http://schemas.openxmlformats.org/officeDocument/2006/relationships/image" Target="media/imgrId636167426effcfafc.jpg"/><Relationship Id="rId313867426effd27df" Type="http://schemas.openxmlformats.org/officeDocument/2006/relationships/image" Target="media/imgrId313867426effd27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