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quercuum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Miyabe ex Shirai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asclepiadaceum var. quercuum</w:t>
            </w:r>
            <w:r>
              <w:rPr>
                <w:rFonts w:ascii="Calibri" w:hAnsi="Calibri" w:eastAsia="Calibri" w:cs="Calibri"/>
                <w:color w:val="000000"/>
                <w:position w:val="-3"/>
                <w:sz w:val="22"/>
                <w:szCs w:val="22"/>
              </w:rPr>
              <w:t xml:space="preserve"> Berkeley, </w:t>
            </w:r>
            <w:r>
              <w:rPr>
                <w:rFonts w:ascii="Calibri" w:hAnsi="Calibri" w:eastAsia="Calibri" w:cs="Calibri"/>
                <w:i/>
                <w:iCs/>
                <w:color w:val="000000"/>
                <w:position w:val="-3"/>
                <w:sz w:val="22"/>
                <w:szCs w:val="22"/>
              </w:rPr>
              <w:t xml:space="preserve">Cronartium cerebrum</w:t>
            </w:r>
            <w:r>
              <w:rPr>
                <w:rFonts w:ascii="Calibri" w:hAnsi="Calibri" w:eastAsia="Calibri" w:cs="Calibri"/>
                <w:color w:val="000000"/>
                <w:position w:val="-3"/>
                <w:sz w:val="22"/>
                <w:szCs w:val="22"/>
              </w:rPr>
              <w:t xml:space="preserve"> (Peck) Hedgcock &amp; W.H.Long, </w:t>
            </w:r>
            <w:r>
              <w:rPr>
                <w:rFonts w:ascii="Calibri" w:hAnsi="Calibri" w:eastAsia="Calibri" w:cs="Calibri"/>
                <w:i/>
                <w:iCs/>
                <w:color w:val="000000"/>
                <w:position w:val="-3"/>
                <w:sz w:val="22"/>
                <w:szCs w:val="22"/>
              </w:rPr>
              <w:t xml:space="preserve">Cronartium harknessii</w:t>
            </w:r>
            <w:r>
              <w:rPr>
                <w:rFonts w:ascii="Calibri" w:hAnsi="Calibri" w:eastAsia="Calibri" w:cs="Calibri"/>
                <w:color w:val="000000"/>
                <w:position w:val="-3"/>
                <w:sz w:val="22"/>
                <w:szCs w:val="22"/>
              </w:rPr>
              <w:t xml:space="preserve"> (J.P. Moore) E. Meinecke, </w:t>
            </w:r>
            <w:r>
              <w:rPr>
                <w:rFonts w:ascii="Calibri" w:hAnsi="Calibri" w:eastAsia="Calibri" w:cs="Calibri"/>
                <w:i/>
                <w:iCs/>
                <w:color w:val="000000"/>
                <w:position w:val="-3"/>
                <w:sz w:val="22"/>
                <w:szCs w:val="22"/>
              </w:rPr>
              <w:t xml:space="preserve">Endocronartium harknessii</w:t>
            </w:r>
            <w:r>
              <w:rPr>
                <w:rFonts w:ascii="Calibri" w:hAnsi="Calibri" w:eastAsia="Calibri" w:cs="Calibri"/>
                <w:color w:val="000000"/>
                <w:position w:val="-3"/>
                <w:sz w:val="22"/>
                <w:szCs w:val="22"/>
              </w:rPr>
              <w:t xml:space="preserve"> (J.P. Moore) Hiratsuka, </w:t>
            </w:r>
            <w:r>
              <w:rPr>
                <w:rFonts w:ascii="Calibri" w:hAnsi="Calibri" w:eastAsia="Calibri" w:cs="Calibri"/>
                <w:i/>
                <w:iCs/>
                <w:color w:val="000000"/>
                <w:position w:val="-3"/>
                <w:sz w:val="22"/>
                <w:szCs w:val="22"/>
              </w:rPr>
              <w:t xml:space="preserve">Peridermium cerebrum</w:t>
            </w:r>
            <w:r>
              <w:rPr>
                <w:rFonts w:ascii="Calibri" w:hAnsi="Calibri" w:eastAsia="Calibri" w:cs="Calibri"/>
                <w:color w:val="000000"/>
                <w:position w:val="-3"/>
                <w:sz w:val="22"/>
                <w:szCs w:val="22"/>
              </w:rPr>
              <w:t xml:space="preserve"> Hedgcock &amp; W.H.Long, </w:t>
            </w:r>
            <w:r>
              <w:rPr>
                <w:rFonts w:ascii="Calibri" w:hAnsi="Calibri" w:eastAsia="Calibri" w:cs="Calibri"/>
                <w:i/>
                <w:iCs/>
                <w:color w:val="000000"/>
                <w:position w:val="-3"/>
                <w:sz w:val="22"/>
                <w:szCs w:val="22"/>
              </w:rPr>
              <w:t xml:space="preserve">Peridermium giganteum</w:t>
            </w:r>
            <w:r>
              <w:rPr>
                <w:rFonts w:ascii="Calibri" w:hAnsi="Calibri" w:eastAsia="Calibri" w:cs="Calibri"/>
                <w:color w:val="000000"/>
                <w:position w:val="-3"/>
                <w:sz w:val="22"/>
                <w:szCs w:val="22"/>
              </w:rPr>
              <w:t xml:space="preserve"> Mayr, </w:t>
            </w:r>
            <w:r>
              <w:rPr>
                <w:rFonts w:ascii="Calibri" w:hAnsi="Calibri" w:eastAsia="Calibri" w:cs="Calibri"/>
                <w:i/>
                <w:iCs/>
                <w:color w:val="000000"/>
                <w:position w:val="-3"/>
                <w:sz w:val="22"/>
                <w:szCs w:val="22"/>
              </w:rPr>
              <w:t xml:space="preserve">Peridermium harknessii</w:t>
            </w:r>
            <w:r>
              <w:rPr>
                <w:rFonts w:ascii="Calibri" w:hAnsi="Calibri" w:eastAsia="Calibri" w:cs="Calibri"/>
                <w:color w:val="000000"/>
                <w:position w:val="-3"/>
                <w:sz w:val="22"/>
                <w:szCs w:val="22"/>
              </w:rPr>
              <w:t xml:space="preserve"> J.P. Moore, </w:t>
            </w:r>
            <w:r>
              <w:rPr>
                <w:rFonts w:ascii="Calibri" w:hAnsi="Calibri" w:eastAsia="Calibri" w:cs="Calibri"/>
                <w:i/>
                <w:iCs/>
                <w:color w:val="000000"/>
                <w:position w:val="-3"/>
                <w:sz w:val="22"/>
                <w:szCs w:val="22"/>
              </w:rPr>
              <w:t xml:space="preserve">Peridermium mexicanum</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gall rust of pine, Western gall rust of pine, pine gall rust</w:t>
            </w:r>
            <w:hyperlink r:id="rId6450672ccf88efe1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237672ccf88efe6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581232" name="name3280672ccf88f0664" descr="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6.jpg"/>
                          <pic:cNvPicPr/>
                        </pic:nvPicPr>
                        <pic:blipFill>
                          <a:blip r:embed="rId5654672ccf88f0662" cstate="print"/>
                          <a:stretch>
                            <a:fillRect/>
                          </a:stretch>
                        </pic:blipFill>
                        <pic:spPr>
                          <a:xfrm>
                            <a:off x="0" y="0"/>
                            <a:ext cx="2160000" cy="1281600"/>
                          </a:xfrm>
                          <a:prstGeom prst="rect">
                            <a:avLst/>
                          </a:prstGeom>
                          <a:ln w="0">
                            <a:noFill/>
                          </a:ln>
                        </pic:spPr>
                      </pic:pic>
                    </a:graphicData>
                  </a:graphic>
                </wp:inline>
              </w:drawing>
            </w:r>
            <w:hyperlink r:id="rId4198672ccf88f077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causing the Eastern gall rust of pine was initially observed on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in the United States (Shirai, 1899). Initially, three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conigenum,</w:t>
      </w:r>
      <w:r>
        <w:rPr>
          <w:rFonts w:ascii="Calibri" w:hAnsi="Calibri" w:eastAsia="Calibri" w:cs="Calibri"/>
          <w:color w:val="000000"/>
          <w:sz w:val="22"/>
          <w:szCs w:val="22"/>
        </w:rPr>
        <w:t xml:space="preserve"> were regarded as synonyms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due to morphological similarities (Arthur, 1934). However, some taxonomists, including Cummins (1962), and Peterson (1973) considered these species to be distinct, and this was subsequently confirmed by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differences in aecial hosts, it has also been considered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a species complex that comprises several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(Burdsall and Snow, 1977; Kuhlman and Kaneko, 1991):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virginiana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echinatae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The latter is now considered to be a distinct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(as explained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A population of pine gall rust in Asia, initially attributed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was found to be a separate species,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(Kaneko, 2000), and this was confirmed by molecular phylogenetic analyses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these phylogenetic studies,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forms a distinct clade, including its ‘endotype relatives’, once identified as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(Hiratsuka, 1969). Therefore, the Western gall rust of pine,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(formerly placed in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which is an asexual and autoecious form (only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has been synonymized with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this document we will refer to the heteroecious form as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p>
    <w:p>
      <w:pPr>
        <w:widowControl w:val="on"/>
        <w:pBdr/>
        <w:spacing w:before="220" w:after="220" w:line="240" w:lineRule="auto"/>
        <w:ind w:left="0" w:right="0"/>
        <w:jc w:val="both"/>
      </w:pPr>
      <w:r>
        <w:rPr>
          <w:rFonts w:ascii="Calibri" w:hAnsi="Calibri" w:eastAsia="Calibri" w:cs="Calibri"/>
          <w:color w:val="000000"/>
          <w:sz w:val="22"/>
          <w:szCs w:val="22"/>
        </w:rPr>
        <w:t xml:space="preserve">Delimitation of species boundaries among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gall rusts is a challenging issue due to their morphological similarities on the aecial host and variation in the life cycles. The numerous changes which have been made to the species delineation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have created uncertainties about past data, in particular on geographical distribution and host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alternates between the aecial host -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the subsections Australes and Pinus, and the telial host -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However, one of its forms (formerly known as </w:t>
      </w:r>
      <w:r>
        <w:rPr>
          <w:rFonts w:ascii="Calibri" w:hAnsi="Calibri" w:eastAsia="Calibri" w:cs="Calibri"/>
          <w:i/>
          <w:iCs/>
          <w:color w:val="000000"/>
          <w:sz w:val="22"/>
          <w:szCs w:val="22"/>
        </w:rPr>
        <w:t xml:space="preserve">C. harknesii</w:t>
      </w:r>
      <w:r>
        <w:rPr>
          <w:rFonts w:ascii="Calibri" w:hAnsi="Calibri" w:eastAsia="Calibri" w:cs="Calibri"/>
          <w:color w:val="000000"/>
          <w:sz w:val="22"/>
          <w:szCs w:val="22"/>
        </w:rPr>
        <w:t xml:space="preserve">) is autoecious and can complete its life cycle solely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and ecologically important is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across Central and Eastern Canada. The autoecious form causes economic losses on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The pathogen is also reported on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Virginia pine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in the North-Central and Eastern USA. The European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widely planted in North America, is susceptible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attacked to a limited extent in different parts of North America: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planted in the Eastern USA, Table Mountain pine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and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in the Eastern USA, sand pine (</w:t>
      </w:r>
      <w:r>
        <w:rPr>
          <w:rFonts w:ascii="Calibri" w:hAnsi="Calibri" w:eastAsia="Calibri" w:cs="Calibri"/>
          <w:i/>
          <w:iCs/>
          <w:color w:val="000000"/>
          <w:sz w:val="22"/>
          <w:szCs w:val="22"/>
        </w:rPr>
        <w:t xml:space="preserve">P. clausa</w:t>
      </w:r>
      <w:r>
        <w:rPr>
          <w:rFonts w:ascii="Calibri" w:hAnsi="Calibri" w:eastAsia="Calibri" w:cs="Calibri"/>
          <w:color w:val="000000"/>
          <w:sz w:val="22"/>
          <w:szCs w:val="22"/>
        </w:rPr>
        <w:t xml:space="preserve">) and spruce pine (</w:t>
      </w:r>
      <w:r>
        <w:rPr>
          <w:rFonts w:ascii="Calibri" w:hAnsi="Calibri" w:eastAsia="Calibri" w:cs="Calibri"/>
          <w:i/>
          <w:iCs/>
          <w:color w:val="000000"/>
          <w:sz w:val="22"/>
          <w:szCs w:val="22"/>
        </w:rPr>
        <w:t xml:space="preserve">P. glabra</w:t>
      </w:r>
      <w:r>
        <w:rPr>
          <w:rFonts w:ascii="Calibri" w:hAnsi="Calibri" w:eastAsia="Calibri" w:cs="Calibri"/>
          <w:color w:val="000000"/>
          <w:sz w:val="22"/>
          <w:szCs w:val="22"/>
        </w:rPr>
        <w:t xml:space="preserve">) in the South-Eastern USA. Records on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probably refer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Mexico, other species are recorded as hosts (</w:t>
      </w:r>
      <w:r>
        <w:rPr>
          <w:rFonts w:ascii="Calibri" w:hAnsi="Calibri" w:eastAsia="Calibri" w:cs="Calibri"/>
          <w:i/>
          <w:iCs/>
          <w:color w:val="000000"/>
          <w:sz w:val="22"/>
          <w:szCs w:val="22"/>
        </w:rPr>
        <w:t xml:space="preserve">P. leiophylla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chihuahuana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montezumae</w:t>
      </w:r>
      <w:r>
        <w:rPr>
          <w:rFonts w:ascii="Calibri" w:hAnsi="Calibri" w:eastAsia="Calibri" w:cs="Calibri"/>
          <w:color w:val="000000"/>
          <w:sz w:val="22"/>
          <w:szCs w:val="22"/>
        </w:rPr>
        <w:t xml:space="preserve">). The European species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has been found to be susceptible in North America. The main potential host in the EPPO region would appear to be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possibly also </w:t>
      </w:r>
      <w:r>
        <w:rPr>
          <w:rFonts w:ascii="Calibri" w:hAnsi="Calibri" w:eastAsia="Calibri" w:cs="Calibri"/>
          <w:i/>
          <w:iCs/>
          <w:color w:val="000000"/>
          <w:sz w:val="22"/>
          <w:szCs w:val="22"/>
        </w:rPr>
        <w:t xml:space="preserve">P. nigra.</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in North America are in the Fagaceae family,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Section Lobatae (red oak group) and generally not in the Section Quercus (white oak group). A common telial host species is the northern red oak (</w:t>
      </w:r>
      <w:r>
        <w:rPr>
          <w:rFonts w:ascii="Calibri" w:hAnsi="Calibri" w:eastAsia="Calibri" w:cs="Calibri"/>
          <w:i/>
          <w:iCs/>
          <w:color w:val="000000"/>
          <w:sz w:val="22"/>
          <w:szCs w:val="22"/>
        </w:rPr>
        <w:t xml:space="preserve">Q</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rubra</w:t>
      </w:r>
      <w:r>
        <w:rPr>
          <w:rFonts w:ascii="Calibri" w:hAnsi="Calibri" w:eastAsia="Calibri" w:cs="Calibri"/>
          <w:color w:val="000000"/>
          <w:sz w:val="22"/>
          <w:szCs w:val="22"/>
        </w:rPr>
        <w:t xml:space="preserve">). Reporting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its telial host is complicated by the fact that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cannot be distinguished from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the telial host without molecular testing; therefore, many records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telial hosts could have been confounded with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have also been recorded as hosts. Despite one confirmed report on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in Honduras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situation concerning telial hosts in Central America is not clear. Host records from Asia (e.g.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most probably correspond to other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(likely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list presented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mainly based on a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This list needs to be verified and updated by further study, mainly through molecular techniques to confirm the identity of the pathogen.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chapmanii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is restricted to North, Central and South America. In North America,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occurs over a range from the Great Lakes area southeast awards, in the areas of mainly deciduous forest where the telial hosts (oaks and chestnuts) are abundant. The recent molecular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presence of the species in Canada, the USA and Honduras.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based on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However, past reports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Asia may be referring to different species, in particular to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which has been documented in China, Japan, the Republic of Korea, and the Russian Far East (Kaneko, 2000;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Further studies are needed to clarify the distribution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through molecular techniques to confirm the identity of the pathogen.</w:t>
      </w:r>
    </w:p>
    <w:p>
      <w:r>
        <w:drawing>
          <wp:inline distT="0" distB="0" distL="0" distR="0">
            <wp:extent cx="6120000" cy="3067200"/>
            <wp:docPr id="13238260" name="name4729672ccf88f289e" descr="CRON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QU_distribution_map.jpg"/>
                    <pic:cNvPicPr/>
                  </pic:nvPicPr>
                  <pic:blipFill>
                    <a:blip r:embed="rId9001672ccf88f289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Guangxi, Guizhou, Heilongjiang, Hubei, Hunan, Jiangsu, Jiangxi, Shaanxi, Sichuan, Yunnan, Zhejiang), India (Manipur, Meghalaya), Japan, Korea Dem. People's Republic, Korea, Republic, Philippines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Yukon Territory), Mexico, United States of America (Alabama, Alaska, Arizona, Arkansas, California, Connecticut, Delaware, Florida, Georgia, Idaho, Iowa, Kansas, Kentucky, Louisiana, Maryland, Michigan, Minnesota, Mississippi, Missouri, Nebraska, New Jersey, North Carolina, North Dakota, Oklahoma, Pennsylvania, South Carolina, South Dakota, Tennessee, Texas,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Guyana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Aeciospores, produced in the aecia, are windborne and may be carried over long distances. These spores cannot re-infect the aecial host on which they were produced but can infect the telial host (except for the autoecious form). Approximately two weeks after infection of the telial host by aeciospores, uredinia develop on the abaxial leaf surface. Uredinia are continuously produced throughout the summer and urediniospores produced therein reinfect the telial hosts. Urediniospores are windborne and may be carried over long distances. Telia are produced in late summer and the teliospores germinate in place to produce basidiospores. Basidiospores are sensitive to drying and solar radiation and mostly released in high humidity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swellings or galls that are typical for this rust. The time between infection of the aecial hosts and the formation of spermogonia ranges from several weeks to more than two years. Cross-fertilisation of the spermogonia occurs by insects carrying the spermatia or through hyphal anastomoses (Sinclair and Lyon, 2005). Spermogonia on the aecial hosts are produced on the galls on branches and stems. After several weeks (up to one year), aecia are produced where spermogonia previously appeared, producing yellow to orange (rarely white) aeciospores. The aeciospores have thick walls, tolerate U.V. light and desiccation and can disperse over long distances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(aecial host) are difficult to see on the needles. Usually, the first visible symptoms are the swellings on branches or stems that become spherical galls with a rough appearance. Aeciospores and/or spermatia, produced in an orange spermatial fluid, are produced on these galls in the spring. The needles of affected limbs can become stunted and fall. The galls rarely cause mortality directly, except if they occur on the main stem, in which case they can cause stem breakage. Severely infected trees may have hundreds of galls on their branches and stem. On the telial host, uredinia and/or telia can be seen on the abaxial surface of leaves from the early summer until the autumn.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intracortical, on trunks or branches, Spermatia hyaline, oblong-elliptic, ovoid or tear-shaped; 4-5 x 2-3 µm. Aecia intracortical, erumpent, on trunks or branches, 3-10 mm long, with thick cerebroid peridium, peridia consisting of two cell layers. Aeciospores 15-23 x 23-33 µm, obovoid or ellipsoid, wall hyaline, 2.5-3.5 µm thick, coarsely verrucose except for the base. Uredinia hypophyllous, scattered or in groups, small, yellow, covered by dome-shaped peridium. Urediniospores obovoid or ellipsoid, 14-21 x 17-32 µm, with hyaline, 2-3 µm thick, echinulate walls, germ pores scattered. Telial hypophyllous, in a filamentous column, 2-3 mm long, 100-175 µm wide, brown, straight or curved. Teliospores elongated or fusoid, 14-21 x 29-43 µm, walls almost hyaline, smooth, 2-3 µm thick. Basidiospores yellow-orange, ellipsoid; 4 x 6 µm, length-to-width ratio 1.3-1.7.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seedlings for the presence of swellings on pine trunks or branches could reveal the potential presence of the pathogen on seedlings and saplings. The best way to detect the pathogen in the absence of visible symptoms is by DNA based tests. A PCR test that was initially designed to target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can detect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(Ramsfield and Vogler, 2010). This test can discriminate between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and all other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formae speciales as well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tests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can be carried into new areas on plants for planting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as has occurred in parts of the USA.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The long incubation period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means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of the aecial hosts. However, their abundance depends primarily on the abundance of the alternate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Impact of the autoecious forms can be greater as they can spread without the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damaging in nurseries and young plantations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North America, where it has been recorded to cause 25% losses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general, however, it attracts much less attention in the North American literature than the closely related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autoecious form. There is no particular indication of economic importance in Central America. If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were introduced to Europe, it is possible that native hosts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could be more susceptible to the pathogen, as is often the case for non-co-evolved host and pathogens. On its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affects only the leaves without causing severe damage, and is thus of no direct practical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controlled by removing infected material, either by pruning infected branches on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by eliminating infected trees or seedlings. Removing the alternate host is not a viable option to control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the alternate host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crucial both ecologically and economically as forest trees, , though nurseries should be located away from infection sources. The use of fungicides is feasible in nurseries or ornamental trees. Research on triadimefon demonstrated that foliar sprays can both prevent infections for up to 14 days after application and eliminate infections that developed up to 14 days prior to spraying (Rowan, 1984). Breeding for resistance is probably the best approach to control this disease (Burnes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Successful breeding programs have identified resistance genes in pines to other closely related rusts such as in fusiform rust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western gall rust (Yanchuk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where coevolution with the host has been demonstrated (MacAllister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risk of establishment and spread of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depends on the prevalence of the telial hosts concerned. The telial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in North America, mainly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indigenous to that continent. No information seems to be available on the susceptibility of European species of these genera. The most widespread European oaks are "white oaks" (subgenus Quercus), and thus belong to the group which is not susceptible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North American red oaks are planted to a limited extent in Europe (e.g. especially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The Asian telial host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is a rarely cultivated garden ornamental in Europe. It is not clear how many other Asian species may be telial hosts, but in general Asian oaks are not commonly grown in Europe. The most important European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has suffered serious losses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at the nursery stage in North America. However, establishment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Europe would also depend on the susceptibility of some 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potential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 plants for planting from countries where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occurs. Other phytosanitary measures could require that these plants are produced in pest-free areas or pest free place of production (with its immediate vicinity also free from the pest during the last growing season).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Manual of the Rusts in United States and Canada. Lafayette. In: Purdue Research Foundation.</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7529672ccf88f3644"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Burnes TA, Blanchette RA, Stewart WK &amp; Mohn CA (1989) Screening jack pine seedlings for resistance to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banksianae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Endocronartium harknessii. 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1642-1644.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(pine-oak rust). CABI Compendium. </w:t>
      </w:r>
      <w:hyperlink r:id="rId9787672ccf88f37cb" w:history="1">
        <w:r>
          <w:rPr>
            <w:rFonts w:ascii="Calibri" w:hAnsi="Calibri" w:eastAsia="Calibri" w:cs="Calibri"/>
            <w:color w:val="0000CC"/>
            <w:sz w:val="22"/>
            <w:szCs w:val="22"/>
            <w:u w:val="single"/>
          </w:rPr>
          <w:t xml:space="preserve">https://doi.org/10.1079/cabicompendium.16153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(1962) Supplement to Arthur’s manual of the rusts in United States and Canada. Hafner Publishing,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9547672ccf88f38fa"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Gäumann E (1959) Die Rostpilze Mitteleuropas. Beiträge zur Kryptogamenflora der Schweiz (Band XII), Büchler und Co. Swiss.</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rust flora of Japan. Tsukuba Shuppankai, Tsukuba,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(1969)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a new genus for autoecious pine stem rusts.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(9), 1493-1495.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S (2000) </w:t>
      </w:r>
      <w:r>
        <w:rPr>
          <w:rFonts w:ascii="Calibri" w:hAnsi="Calibri" w:eastAsia="Calibri" w:cs="Calibri"/>
          <w:i/>
          <w:iCs/>
          <w:color w:val="000000"/>
          <w:sz w:val="22"/>
          <w:szCs w:val="22"/>
        </w:rPr>
        <w:t xml:space="preserve">Cronartium orientale</w:t>
      </w:r>
      <w:r>
        <w:rPr>
          <w:rFonts w:ascii="Calibri" w:hAnsi="Calibri" w:eastAsia="Calibri" w:cs="Calibri"/>
          <w:color w:val="000000"/>
          <w:sz w:val="22"/>
          <w:szCs w:val="22"/>
        </w:rPr>
        <w:t xml:space="preserve">, sp. nov., segregation of the pine gall rust in eastern Asia from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115-122.</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Kuprevich VF &amp; Ulyanishchev VI (1975) Opredelitel rzhavchinnykh gribov SSSR. I. Nauk, USSR.</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4524672ccf88f3cd4"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McAllister CH, Cullingham CI, Peery RM, Mbenoun M, McPeak E, Feau N, Hamelin RC, Ramsfield TD, Myrholm CL &amp; Cooke JE (2022) Evidence of coevolution between </w:t>
      </w:r>
      <w:r>
        <w:rPr>
          <w:rFonts w:ascii="Calibri" w:hAnsi="Calibri" w:eastAsia="Calibri" w:cs="Calibri"/>
          <w:i/>
          <w:iCs/>
          <w:color w:val="000000"/>
          <w:sz w:val="22"/>
          <w:szCs w:val="22"/>
        </w:rPr>
        <w:t xml:space="preserve">Cronartium harknessii</w:t>
      </w:r>
      <w:r>
        <w:rPr>
          <w:rFonts w:ascii="Calibri" w:hAnsi="Calibri" w:eastAsia="Calibri" w:cs="Calibri"/>
          <w:color w:val="000000"/>
          <w:sz w:val="22"/>
          <w:szCs w:val="22"/>
        </w:rPr>
        <w:t xml:space="preserve"> lineages and their corresponding hosts, lodgepole pine and jack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1795–1807.</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2758672ccf88f3d80"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in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&amp; Vogler DR (2010) A DNA-based method for detection of </w:t>
      </w:r>
      <w:r>
        <w:rPr>
          <w:rFonts w:ascii="Calibri" w:hAnsi="Calibri" w:eastAsia="Calibri" w:cs="Calibri"/>
          <w:i/>
          <w:iCs/>
          <w:color w:val="000000"/>
          <w:sz w:val="22"/>
          <w:szCs w:val="22"/>
        </w:rPr>
        <w:t xml:space="preserve">Peridermium harknessii</w:t>
      </w:r>
      <w:r>
        <w:rPr>
          <w:rFonts w:ascii="Calibri" w:hAnsi="Calibri" w:eastAsia="Calibri" w:cs="Calibri"/>
          <w:color w:val="000000"/>
          <w:sz w:val="22"/>
          <w:szCs w:val="22"/>
        </w:rPr>
        <w:t xml:space="preserve">, the causal agent of western gall rust.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247–253.</w:t>
      </w:r>
    </w:p>
    <w:p>
      <w:pPr>
        <w:widowControl w:val="on"/>
        <w:pBdr/>
        <w:spacing w:before="220" w:after="220" w:line="240" w:lineRule="auto"/>
        <w:ind w:left="0" w:right="0"/>
        <w:jc w:val="left"/>
      </w:pPr>
      <w:r>
        <w:rPr>
          <w:rFonts w:ascii="Calibri" w:hAnsi="Calibri" w:eastAsia="Calibri" w:cs="Calibri"/>
          <w:color w:val="000000"/>
          <w:sz w:val="22"/>
          <w:szCs w:val="22"/>
        </w:rPr>
        <w:t xml:space="preserve">Rowan SJ (1984) Bayleton seed treatment combined with foliar spray improves fusiform rust control in nurseries.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51-54.</w:t>
      </w:r>
    </w:p>
    <w:p>
      <w:pPr>
        <w:widowControl w:val="on"/>
        <w:pBdr/>
        <w:spacing w:before="220" w:after="220" w:line="240" w:lineRule="auto"/>
        <w:ind w:left="0" w:right="0"/>
        <w:jc w:val="left"/>
      </w:pPr>
      <w:r>
        <w:rPr>
          <w:rFonts w:ascii="Calibri" w:hAnsi="Calibri" w:eastAsia="Calibri" w:cs="Calibri"/>
          <w:color w:val="000000"/>
          <w:sz w:val="22"/>
          <w:szCs w:val="22"/>
        </w:rPr>
        <w:t xml:space="preserve">Shirai M (1899) On the genetic connection between </w:t>
      </w:r>
      <w:r>
        <w:rPr>
          <w:rFonts w:ascii="Calibri" w:hAnsi="Calibri" w:eastAsia="Calibri" w:cs="Calibri"/>
          <w:i/>
          <w:iCs/>
          <w:color w:val="000000"/>
          <w:sz w:val="22"/>
          <w:szCs w:val="22"/>
        </w:rPr>
        <w:t xml:space="preserve">Peridermium giganteum</w:t>
      </w:r>
      <w:r>
        <w:rPr>
          <w:rFonts w:ascii="Calibri" w:hAnsi="Calibri" w:eastAsia="Calibri" w:cs="Calibri"/>
          <w:color w:val="000000"/>
          <w:sz w:val="22"/>
          <w:szCs w:val="22"/>
        </w:rPr>
        <w:t xml:space="preserve"> (Mayr) Tubeuf and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(Cooke) Miyabe.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74-79.</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Anderson RL (1993) Twenty-six new pine hosts of fusiform rust.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 17-20.</w:t>
      </w:r>
    </w:p>
    <w:p>
      <w:pPr>
        <w:widowControl w:val="on"/>
        <w:pBdr/>
        <w:spacing w:before="220" w:after="220" w:line="240" w:lineRule="auto"/>
        <w:ind w:left="0" w:right="0"/>
        <w:jc w:val="left"/>
      </w:pPr>
      <w:r>
        <w:rPr>
          <w:rFonts w:ascii="Calibri" w:hAnsi="Calibri" w:eastAsia="Calibri" w:cs="Calibri"/>
          <w:color w:val="000000"/>
          <w:sz w:val="22"/>
          <w:szCs w:val="22"/>
        </w:rPr>
        <w:t xml:space="preserve">Yanchuk AD, Yeh FC &amp; Dancik BP (1988) Variation of stem rust resistance in a lodgepole pine provenance-family plantation.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1067–1075.</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EPPO datasheets on pests recommended for regulation. Available online. </w:t>
      </w:r>
      <w:hyperlink r:id="rId5199672ccf89000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5447672ccf89002f9"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60228921" name="name7006672ccf890034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42672ccf890034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458275">
    <w:multiLevelType w:val="hybridMultilevel"/>
    <w:lvl w:ilvl="0" w:tplc="57033736">
      <w:start w:val="1"/>
      <w:numFmt w:val="decimal"/>
      <w:lvlText w:val="%1."/>
      <w:lvlJc w:val="left"/>
      <w:pPr>
        <w:ind w:left="720" w:hanging="360"/>
      </w:pPr>
    </w:lvl>
    <w:lvl w:ilvl="1" w:tplc="57033736" w:tentative="1">
      <w:start w:val="1"/>
      <w:numFmt w:val="lowerLetter"/>
      <w:lvlText w:val="%2."/>
      <w:lvlJc w:val="left"/>
      <w:pPr>
        <w:ind w:left="1440" w:hanging="360"/>
      </w:pPr>
    </w:lvl>
    <w:lvl w:ilvl="2" w:tplc="57033736" w:tentative="1">
      <w:start w:val="1"/>
      <w:numFmt w:val="lowerRoman"/>
      <w:lvlText w:val="%3."/>
      <w:lvlJc w:val="right"/>
      <w:pPr>
        <w:ind w:left="2160" w:hanging="180"/>
      </w:pPr>
    </w:lvl>
    <w:lvl w:ilvl="3" w:tplc="57033736" w:tentative="1">
      <w:start w:val="1"/>
      <w:numFmt w:val="decimal"/>
      <w:lvlText w:val="%4."/>
      <w:lvlJc w:val="left"/>
      <w:pPr>
        <w:ind w:left="2880" w:hanging="360"/>
      </w:pPr>
    </w:lvl>
    <w:lvl w:ilvl="4" w:tplc="57033736" w:tentative="1">
      <w:start w:val="1"/>
      <w:numFmt w:val="lowerLetter"/>
      <w:lvlText w:val="%5."/>
      <w:lvlJc w:val="left"/>
      <w:pPr>
        <w:ind w:left="3600" w:hanging="360"/>
      </w:pPr>
    </w:lvl>
    <w:lvl w:ilvl="5" w:tplc="57033736" w:tentative="1">
      <w:start w:val="1"/>
      <w:numFmt w:val="lowerRoman"/>
      <w:lvlText w:val="%6."/>
      <w:lvlJc w:val="right"/>
      <w:pPr>
        <w:ind w:left="4320" w:hanging="180"/>
      </w:pPr>
    </w:lvl>
    <w:lvl w:ilvl="6" w:tplc="57033736" w:tentative="1">
      <w:start w:val="1"/>
      <w:numFmt w:val="decimal"/>
      <w:lvlText w:val="%7."/>
      <w:lvlJc w:val="left"/>
      <w:pPr>
        <w:ind w:left="5040" w:hanging="360"/>
      </w:pPr>
    </w:lvl>
    <w:lvl w:ilvl="7" w:tplc="57033736" w:tentative="1">
      <w:start w:val="1"/>
      <w:numFmt w:val="lowerLetter"/>
      <w:lvlText w:val="%8."/>
      <w:lvlJc w:val="left"/>
      <w:pPr>
        <w:ind w:left="5760" w:hanging="360"/>
      </w:pPr>
    </w:lvl>
    <w:lvl w:ilvl="8" w:tplc="57033736" w:tentative="1">
      <w:start w:val="1"/>
      <w:numFmt w:val="lowerRoman"/>
      <w:lvlText w:val="%9."/>
      <w:lvlJc w:val="right"/>
      <w:pPr>
        <w:ind w:left="6480" w:hanging="180"/>
      </w:pPr>
    </w:lvl>
  </w:abstractNum>
  <w:abstractNum w:abstractNumId="12458274">
    <w:multiLevelType w:val="hybridMultilevel"/>
    <w:lvl w:ilvl="0" w:tplc="115455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458274">
    <w:abstractNumId w:val="12458274"/>
  </w:num>
  <w:num w:numId="12458275">
    <w:abstractNumId w:val="124582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9385238" Type="http://schemas.microsoft.com/office/2011/relationships/commentsExtended" Target="commentsExtended.xml"/><Relationship Id="rId349874056" Type="http://schemas.microsoft.com/office/2011/relationships/people" Target="people.xml"/><Relationship Id="rId6450672ccf88efe1f" Type="http://schemas.openxmlformats.org/officeDocument/2006/relationships/hyperlink" Target="https://gd.eppo.int/taxon/CRONQU/" TargetMode="External"/><Relationship Id="rId5237672ccf88efe63" Type="http://schemas.openxmlformats.org/officeDocument/2006/relationships/hyperlink" Target="https://gd.eppo.int/taxon/CRONQU/categorization" TargetMode="External"/><Relationship Id="rId4198672ccf88f077c" Type="http://schemas.openxmlformats.org/officeDocument/2006/relationships/hyperlink" Target="https://gd.eppo.int/taxon/CRONQU/photos" TargetMode="External"/><Relationship Id="rId7529672ccf88f3644" Type="http://schemas.openxmlformats.org/officeDocument/2006/relationships/hyperlink" Target="https://doi.org/10.1371/journal.pone.0210952" TargetMode="External"/><Relationship Id="rId9787672ccf88f37cb" Type="http://schemas.openxmlformats.org/officeDocument/2006/relationships/hyperlink" Target="https://doi.org/10.1079/cabicompendium.16153" TargetMode="External"/><Relationship Id="rId9547672ccf88f38fa" Type="http://schemas.openxmlformats.org/officeDocument/2006/relationships/hyperlink" Target="https://doi.org/10.2903/j.efsa.2018.5511" TargetMode="External"/><Relationship Id="rId4524672ccf88f3cd4" Type="http://schemas.openxmlformats.org/officeDocument/2006/relationships/hyperlink" Target="https://doi.org/10.1094/PHI-I-2003-0908-01" TargetMode="External"/><Relationship Id="rId2758672ccf88f3d80" Type="http://schemas.openxmlformats.org/officeDocument/2006/relationships/hyperlink" Target="http://www.mycoportal.org/portal/index.php" TargetMode="External"/><Relationship Id="rId5199672ccf8900012" Type="http://schemas.openxmlformats.org/officeDocument/2006/relationships/hyperlink" Target="https://gd.eppo.int" TargetMode="External"/><Relationship Id="rId5447672ccf89002f9" Type="http://schemas.openxmlformats.org/officeDocument/2006/relationships/hyperlink" Target="https://doi.org/10.1111/j.1365-2338.1979.tb02450.x" TargetMode="External"/><Relationship Id="rId5654672ccf88f0662" Type="http://schemas.openxmlformats.org/officeDocument/2006/relationships/image" Target="media/imgrId5654672ccf88f0662.jpg"/><Relationship Id="rId9001672ccf88f289b" Type="http://schemas.openxmlformats.org/officeDocument/2006/relationships/image" Target="media/imgrId9001672ccf88f289b.jpg"/><Relationship Id="rId1342672ccf890034d" Type="http://schemas.openxmlformats.org/officeDocument/2006/relationships/image" Target="media/imgrId1342672ccf890034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