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minax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minax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(Enderlein)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citri</w:t>
            </w:r>
            <w:r>
              <w:rPr>
                <w:rFonts w:ascii="Calibri" w:hAnsi="Calibri" w:eastAsia="Calibri" w:cs="Calibri"/>
                <w:color w:val="000000"/>
                <w:position w:val="-3"/>
                <w:sz w:val="22"/>
                <w:szCs w:val="22"/>
              </w:rPr>
              <w:t xml:space="preserve"> (Chen), </w:t>
            </w:r>
            <w:r>
              <w:rPr>
                <w:rFonts w:ascii="Calibri" w:hAnsi="Calibri" w:eastAsia="Calibri" w:cs="Calibri"/>
                <w:i/>
                <w:iCs/>
                <w:color w:val="000000"/>
                <w:position w:val="-3"/>
                <w:sz w:val="22"/>
                <w:szCs w:val="22"/>
              </w:rPr>
              <w:t xml:space="preserve">Callantra minax</w:t>
            </w:r>
            <w:r>
              <w:rPr>
                <w:rFonts w:ascii="Calibri" w:hAnsi="Calibri" w:eastAsia="Calibri" w:cs="Calibri"/>
                <w:color w:val="000000"/>
                <w:position w:val="-3"/>
                <w:sz w:val="22"/>
                <w:szCs w:val="22"/>
              </w:rPr>
              <w:t xml:space="preserve"> (Enderlein), </w:t>
            </w:r>
            <w:r>
              <w:rPr>
                <w:rFonts w:ascii="Calibri" w:hAnsi="Calibri" w:eastAsia="Calibri" w:cs="Calibri"/>
                <w:i/>
                <w:iCs/>
                <w:color w:val="000000"/>
                <w:position w:val="-3"/>
                <w:sz w:val="22"/>
                <w:szCs w:val="22"/>
              </w:rPr>
              <w:t xml:space="preserve">Dacus citri</w:t>
            </w:r>
            <w:r>
              <w:rPr>
                <w:rFonts w:ascii="Calibri" w:hAnsi="Calibri" w:eastAsia="Calibri" w:cs="Calibri"/>
                <w:color w:val="000000"/>
                <w:position w:val="-3"/>
                <w:sz w:val="22"/>
                <w:szCs w:val="22"/>
              </w:rPr>
              <w:t xml:space="preserve"> (Chen), </w:t>
            </w:r>
            <w:r>
              <w:rPr>
                <w:rFonts w:ascii="Calibri" w:hAnsi="Calibri" w:eastAsia="Calibri" w:cs="Calibri"/>
                <w:i/>
                <w:iCs/>
                <w:color w:val="000000"/>
                <w:position w:val="-3"/>
                <w:sz w:val="22"/>
                <w:szCs w:val="22"/>
              </w:rPr>
              <w:t xml:space="preserve">Mellesis citri</w:t>
            </w:r>
            <w:r>
              <w:rPr>
                <w:rFonts w:ascii="Calibri" w:hAnsi="Calibri" w:eastAsia="Calibri" w:cs="Calibri"/>
                <w:color w:val="000000"/>
                <w:position w:val="-3"/>
                <w:sz w:val="22"/>
                <w:szCs w:val="22"/>
              </w:rPr>
              <w:t xml:space="preserve"> Chen, </w:t>
            </w:r>
            <w:r>
              <w:rPr>
                <w:rFonts w:ascii="Calibri" w:hAnsi="Calibri" w:eastAsia="Calibri" w:cs="Calibri"/>
                <w:i/>
                <w:iCs/>
                <w:color w:val="000000"/>
                <w:position w:val="-3"/>
                <w:sz w:val="22"/>
                <w:szCs w:val="22"/>
              </w:rPr>
              <w:t xml:space="preserve">Polistomimetes minax</w:t>
            </w:r>
            <w:r>
              <w:rPr>
                <w:rFonts w:ascii="Calibri" w:hAnsi="Calibri" w:eastAsia="Calibri" w:cs="Calibri"/>
                <w:color w:val="000000"/>
                <w:position w:val="-3"/>
                <w:sz w:val="22"/>
                <w:szCs w:val="22"/>
              </w:rPr>
              <w:t xml:space="preserve"> Enderlein, </w:t>
            </w:r>
            <w:r>
              <w:rPr>
                <w:rFonts w:ascii="Calibri" w:hAnsi="Calibri" w:eastAsia="Calibri" w:cs="Calibri"/>
                <w:i/>
                <w:iCs/>
                <w:color w:val="000000"/>
                <w:position w:val="-3"/>
                <w:sz w:val="22"/>
                <w:szCs w:val="22"/>
              </w:rPr>
              <w:t xml:space="preserve">Tetradacus citri</w:t>
            </w:r>
            <w:r>
              <w:rPr>
                <w:rFonts w:ascii="Calibri" w:hAnsi="Calibri" w:eastAsia="Calibri" w:cs="Calibri"/>
                <w:color w:val="000000"/>
                <w:position w:val="-3"/>
                <w:sz w:val="22"/>
                <w:szCs w:val="22"/>
              </w:rPr>
              <w:t xml:space="preserve"> (Chen)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citrus fly</w:t>
            </w:r>
            <w:hyperlink r:id="rId5081669ed8451078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278669ed845107c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DACUCT</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belongs to the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within the genus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As such it can be referred to in the literature as </w:t>
      </w:r>
      <w:r>
        <w:rPr>
          <w:rFonts w:ascii="Calibri" w:hAnsi="Calibri" w:eastAsia="Calibri" w:cs="Calibri"/>
          <w:i/>
          <w:iCs/>
          <w:color w:val="000000"/>
          <w:sz w:val="22"/>
          <w:szCs w:val="22"/>
        </w:rPr>
        <w:t xml:space="preserve">Bactrocera (Tetradacus) minax.</w:t>
      </w:r>
      <w:r>
        <w:rPr>
          <w:rFonts w:ascii="Calibri" w:hAnsi="Calibri" w:eastAsia="Calibri" w:cs="Calibri"/>
          <w:color w:val="000000"/>
          <w:sz w:val="22"/>
          <w:szCs w:val="22"/>
        </w:rPr>
        <w:t xml:space="preserve"> A recent review of, and identification key to all species of the subgenus </w:t>
      </w:r>
      <w:r>
        <w:rPr>
          <w:rFonts w:ascii="Calibri" w:hAnsi="Calibri" w:eastAsia="Calibri" w:cs="Calibri"/>
          <w:i/>
          <w:iCs/>
          <w:color w:val="000000"/>
          <w:sz w:val="22"/>
          <w:szCs w:val="22"/>
        </w:rPr>
        <w:t xml:space="preserve">Tetradacus </w:t>
      </w:r>
      <w:r>
        <w:rPr>
          <w:rFonts w:ascii="Calibri" w:hAnsi="Calibri" w:eastAsia="Calibri" w:cs="Calibri"/>
          <w:color w:val="000000"/>
          <w:sz w:val="22"/>
          <w:szCs w:val="22"/>
        </w:rPr>
        <w:t xml:space="preserve">is given by Hancock &amp; Drew (2019).</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has erroneously been considered synonymous with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found exclusively on Rutaceae, such as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reports that in China most surveys indicate that mainly sweet oranges are heavily infested, although some surveys have shown high infestation occasionally in pomelo and sour oranges. In Bhutan mandarins are heavily infested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USDA Compendium of Fruit Fly Host Information (CoFFHI)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distribution of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is restricted to northeastern India, Bhutan, Nepal, and southern China. The record from Donghai County in Jiangsu, China is uncertain according to Hancock &amp; Drew (2018).</w:t>
      </w:r>
    </w:p>
    <w:p>
      <w:r>
        <w:drawing>
          <wp:inline distT="0" distB="0" distL="0" distR="0">
            <wp:extent cx="6120000" cy="3067200"/>
            <wp:docPr id="24417008" name="name8248669ed84511ce8" descr="DACUC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CT_distribution_map.jpg"/>
                    <pic:cNvPicPr/>
                  </pic:nvPicPr>
                  <pic:blipFill>
                    <a:blip r:embed="rId8481669ed84511ce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(Chongqing, Guangdong, Guangxi, Guizhou, Hubei, Hunan, Jiangxi, Shaanxi, Sichuan, Yunnan), India (Sikkim, West Bengal), Nepal,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is an univoltine species (only one generation each year) and goes into diapause in the soil as a pupa during winter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overwintering stage lasts about 160-170 days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a period of at least three months of winter conditions is required for successful diapause development and termination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Diapause termination is synchronized with fruit development, with adult emergence between April and May and adult life span between one and three months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Oviposition takes place in June-July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eggs are laid below the skin of young host fruits. Three larval stages develop inside the fruit, feeding on the plant tissue. A review on this species in China is given by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while details of development in mandarin in Bhutan is given by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Additional information is given in Zhang (1989),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general,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has a similar biology to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but adults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can be found over a longer time in the field</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 of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also described in some detail by White &amp; Elson-Harris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Redescription, as given by Drew &amp; Romig (2013).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Head. Red-brown, fulvous along eye margins and with small dark fuscous areas around bases of orbital setae and on anteromedial hump; orbital setae black: 1 superior, 2 inferior; lunule dark fuscous. Ocellar triangle black. Vertex red-brown. Face fulvous with a pair of large elongate black spots filling most of antennal furrow. Occiput red-brown, fulvous along eye margins; occipital row with 1-4 weak black setae. Antennae with all segments red-brown.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red-brown with a mottled appearance from dorsoventral flight muscles and irregular dark fuscous patterns and particularly with a narrow medial longitudinal dark fuscous line running from anterior point of medial postsutural yellow vitta to anterior margin of scutum. Pleural areas red-brown with fuscous along anterior and posterior margins of mesopleural stripe. Yellow markings as follows: postpronotal lobes; notopleura; a lateral yellow band running from posterior margin of postpronotal lobes towards notopleuron but finishing before the notopleuron; a broad mesopleural stripe reaching the anterior notopleural seta dorsally, extending to the katepisternum as a large transverse spot, anterior margin slightly convex; anatergite (posterior apex red-brown); anterior two-thirds katatergite (remainder red-brown); two medium-width parallel-sided lateral postsutural vittae ending at intra-alar seta and turned slightly inwards along notopleural suture; a broad medial postsutural vitta broadly rounded posteriorly at level of posterior supraalar. seta and narrowing to a point to end anteriorly before level of notopleural suture. Postnotum red-brown. Scutellum yellow except for narrow red-brown basal band. Setae: 2 scutellar, 1 intra-alar, 1 posterior supra-alar, 1 mesopleural, 1 notopleural, 2 scapular; prescutellar and anterior supra-alar absent.</w:t>
      </w:r>
    </w:p>
    <w:p>
      <w:pPr>
        <w:widowControl w:val="on"/>
        <w:pBdr/>
        <w:spacing w:before="220" w:after="220" w:line="240" w:lineRule="auto"/>
        <w:ind w:left="0" w:right="0"/>
        <w:jc w:val="both"/>
      </w:pPr>
      <w:r>
        <w:rPr>
          <w:rFonts w:ascii="Calibri" w:hAnsi="Calibri" w:eastAsia="Calibri" w:cs="Calibri"/>
          <w:color w:val="000000"/>
          <w:sz w:val="22"/>
          <w:szCs w:val="22"/>
        </w:rPr>
        <w:t xml:space="preserve">Legs. Femora fulvous except for small areas of fuscous around bases of all femora and larger areas of fuscous to dark fuscous around apices of mid and hind femora ; fore tibiae fuscous to dark fuscous basally to fulvous apically, hind tibiae fuscous to dark fuscous; all tarsal segments fulvous; mid tibiae each with an apical black spur.</w:t>
      </w:r>
    </w:p>
    <w:p>
      <w:pPr>
        <w:widowControl w:val="on"/>
        <w:pBdr/>
        <w:spacing w:before="220" w:after="220" w:line="240" w:lineRule="auto"/>
        <w:ind w:left="0" w:right="0"/>
        <w:jc w:val="both"/>
      </w:pPr>
      <w:r>
        <w:rPr>
          <w:rFonts w:ascii="Calibri" w:hAnsi="Calibri" w:eastAsia="Calibri" w:cs="Calibri"/>
          <w:color w:val="000000"/>
          <w:sz w:val="22"/>
          <w:szCs w:val="22"/>
        </w:rPr>
        <w:t xml:space="preserve">Wings. Length 10.8 mm; cells bc and c fuscous; microtrichia in outer half of cell c only; remainder of wings colourless except fuscous cell sc, broad fuscous costal band overlapping R4+5 and having a distinct dark fuscous spot within apex, a distinct anal streak absent but with pale fuscous within cell cup; no dense aggregation of microtrichia around A1+CuA2; supernumerary lobe weak.</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Elongate oval and petiolate; terga free; pecten present on tergum III. Tergum I and sterna I and II longer than wide. Terga I and II fulvous with narrow fuscous to dark fuscous lateral margins and a broad medial longitudinal dark fuscous band that is diffuse on the lateral margins; terga III-V variable from fulvous to red-brown and with a dark fuscous to black ‘T’ pattern consisting of a broad transverse band across anterior margin of tergum III which widens to cover lateral margins and a narrow medial longitudinal band over all three terga but ending before posterior margin of tergum III, fuscous to dark fuscous anterolateral corners on terga IV and V (in some specimens the dark patterns on terga III-V are paler and reduced to a fuscous medial longitudinal band over all three terga and pale fuscous anterolateral corners on terga IV and V). A pair of oval fulvous to red-brown shining spots on tergum V. Posterior lobe of surstylus short, sternum V with a slight concavity on posterior margin. Abdominal sterna variable from red-brown to fuscous.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except pecten of cilia on abdominal tergum III absent, ovipositor basal segment red-brown, broadly conical in transverse cross section at base and narrowing and circular in transverse cross section towards apex, and extremely long; ratio of length of oviscape to length of tergum V, 2.7:1; apex of piercer needle-shaped.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morphologically similar to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(Drew &amp; Romig, 2013), but lacking anterior supra-alar setae. It has an incomplete lateral yellow band between the postpronotal lobe and the notopleuron and the female has a longer ovipositor (aculeus 3.7-5.0 mm long), with a needle-shaped apex.  Full details of the separation of these species were given by White &amp; Wang (1992) and Drew &amp; Romig (2013). Hancock &amp; Drew (2019) provide an identification key for all representatives of the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only forms monospecific Barcoding Index Number Systems (BINs) including representatives from the geographical distribution of this species. For this reason, DNA barcoding might be considered as a suitable tool for the molecular identification of this species.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2471669ed8451254f"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in </w:t>
      </w:r>
      <w:hyperlink r:id="rId3102669ed8451257d"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can be monitored by traps baited with male lures,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not known to be attracted to any male lure. A weak attraction of both sexes to methyl eugenol was reported by Drew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this appears to be a seasonal effect, related to the fly’s sexual maturation and mating (Royer, 2015) and considered incidental by Hancock &amp; Drew (2018). Both sexes can be monitored by traps baited with protein-based attractants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 the use of fruit mimic traps as effective in monitoring of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stenophagous, only attacking citrus fruits. It is a serious pest of citrus in parts of China (Zhang, 1989) but the severity and economic impact can differ among the different regions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Specific Integrated Pest Management (IPM) and other management options applied in Bhutan and China are reviewed respectively in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These include sanitation (to gather all fallen and infested host fruits, and destroy them), and raking or shallow plowing of the soil during winter (to expose the pupae).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beneficials.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give a review of comparative testing of different food-based lures against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Area-wide control, using protein bait spraying, was recently conducted in Nepal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Wang &amp; Luo (1995) report the use of Sterile Insect Technique (SIT ) on orange crops in Guizhou Province, China in 1993 and 1994 resulting in a reduction from over 5% infestation to about 0.1% by releasing 1 million sterile males (obtained from natural populations). For more details on this and other SIT applications in China, see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main current drawback for mass rearing of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for SIT is the obligatory diapause.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important crops in the EPPO region.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is a known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the area where it is present. It can be moved in trade with infested fruit. Although no detailed study was made on climatic suitability of the EPPO region for this species,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known to occur in temperate areas. Transient populations could also have negative impacts on export of host fruit from the EPPO region. The EFSA Panel on Plant Health, in their Pest Categorization of non-EU Tephritidae (Bragard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placed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does not occur, or from a place of production found free from the pest by regular inspections in the 3 months before harvest.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both irradiation and cold treatment have been explored as phytosanitary measures. Irradiation required 50-90 Gy to reach zero adult emergence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No specific treatment schedules for cold treatment have been developed but given the cold tolerance of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it is uncertain if schedules for other fruit flies (such as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capitata</w:t>
      </w:r>
      <w:r>
        <w:rPr>
          <w:rFonts w:ascii="Calibri" w:hAnsi="Calibri" w:eastAsia="Calibri" w:cs="Calibri"/>
          <w:color w:val="000000"/>
          <w:sz w:val="22"/>
          <w:szCs w:val="22"/>
        </w:rPr>
        <w:t xml:space="preserve">) will be adequate.</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citrus transported with roots from countries where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occurs should be free from soil, or the soil should be treated against puparia. The plants should not be bearing fruits. Citrus plants are in any case prohibited from importation in many countries because of other quarantine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D, Thapa RB, Joshi SL, Lian H &amp; Du JJ (2020) Area-wide control program of Chines citrus fly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(Enderlein) in Sindhuli, Nepal. </w:t>
      </w:r>
      <w:r>
        <w:rPr>
          <w:rFonts w:ascii="Calibri" w:hAnsi="Calibri" w:eastAsia="Calibri" w:cs="Calibri"/>
          <w:i/>
          <w:iCs/>
          <w:color w:val="000000"/>
          <w:sz w:val="22"/>
          <w:szCs w:val="22"/>
        </w:rPr>
        <w:t xml:space="preserve">American Journal of Agricultural and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3339669ed84512d81"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Chang CL, Liquido NJ, Nakamichi KAA &amp; Ching AJ (2018) Host Plant Records of the Chinese Citrus Fruit Fly (柑橘大实蝇),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(Enderlein) (Diptera: Tephritidae). Version 1.0 February 06, 2018. United States Department of Agriculture, 22pp. Available online at </w:t>
      </w:r>
      <w:hyperlink r:id="rId8979669ed84512dd9"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Chen ZZ, Deng AS, Zhu Q Chen WB, Xu XM, Zheng B &amp; Niu CY (2017) Assessing attracting and killing effects of the spherical traps against Chinese citrus fly,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Huazhong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Dong YC, Wang ZJ, Clarke AR, Pereira R, Desneux N &amp; Niu CY (2013) Pupal diapause development and termination is driven by low temperature chilling in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429-436.</w:t>
      </w:r>
    </w:p>
    <w:p>
      <w:pPr>
        <w:widowControl w:val="on"/>
        <w:pBdr/>
        <w:spacing w:before="220" w:after="220" w:line="240" w:lineRule="auto"/>
        <w:ind w:left="0" w:right="0"/>
        <w:jc w:val="left"/>
      </w:pPr>
      <w:r>
        <w:rPr>
          <w:rFonts w:ascii="Calibri" w:hAnsi="Calibri" w:eastAsia="Calibri" w:cs="Calibri"/>
          <w:color w:val="000000"/>
          <w:sz w:val="22"/>
          <w:szCs w:val="22"/>
        </w:rPr>
        <w:t xml:space="preserve">Dorji C, Clarke AR, Drew RAI, Fletcher BS, Loday P, Mahat K, Raghu S &amp; Romig MC (2006) Seasonal phenology of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(Diptera: Tephritidae) in western Bhutan.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531-538.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w:t>
      </w:r>
      <w:r>
        <w:rPr>
          <w:rFonts w:ascii="Calibri" w:hAnsi="Calibri" w:eastAsia="Calibri" w:cs="Calibri"/>
          <w:i/>
          <w:iCs/>
          <w:color w:val="000000"/>
          <w:sz w:val="22"/>
          <w:szCs w:val="22"/>
        </w:rPr>
        <w:t xml:space="preserve">Tropical Fruit Flies (Tephritidae: Dacinae) of South-East Asia</w:t>
      </w:r>
      <w:r>
        <w:rPr>
          <w:rFonts w:ascii="Calibri" w:hAnsi="Calibri" w:eastAsia="Calibri" w:cs="Calibri"/>
          <w:color w:val="000000"/>
          <w:sz w:val="22"/>
          <w:szCs w:val="22"/>
        </w:rPr>
        <w:t xml:space="preserve">.CAB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Romig MC &amp; Dorji C (2007) Records of dacine fruit flies and new species of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(Diptera: Tephritidae) in Bhutan. </w:t>
      </w:r>
      <w:r>
        <w:rPr>
          <w:rFonts w:ascii="Calibri" w:hAnsi="Calibri" w:eastAsia="Calibri" w:cs="Calibri"/>
          <w:i/>
          <w:iCs/>
          <w:color w:val="000000"/>
          <w:sz w:val="22"/>
          <w:szCs w:val="22"/>
        </w:rPr>
        <w:t xml:space="preserve">The Raffles Bulletin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Fan JA, Zhao XQ &amp; Zhu J (1994) [A study on cold-tolerance and diapause in </w:t>
      </w:r>
      <w:r>
        <w:rPr>
          <w:rFonts w:ascii="Calibri" w:hAnsi="Calibri" w:eastAsia="Calibri" w:cs="Calibri"/>
          <w:i/>
          <w:iCs/>
          <w:color w:val="000000"/>
          <w:sz w:val="22"/>
          <w:szCs w:val="22"/>
        </w:rPr>
        <w:t xml:space="preserve">Tetradacus citri </w:t>
      </w:r>
      <w:r>
        <w:rPr>
          <w:rFonts w:ascii="Calibri" w:hAnsi="Calibri" w:eastAsia="Calibri" w:cs="Calibri"/>
          <w:color w:val="000000"/>
          <w:sz w:val="22"/>
          <w:szCs w:val="22"/>
        </w:rPr>
        <w:t xml:space="preserve">Chen]. </w:t>
      </w:r>
      <w:r>
        <w:rPr>
          <w:rFonts w:ascii="Calibri" w:hAnsi="Calibri" w:eastAsia="Calibri" w:cs="Calibri"/>
          <w:i/>
          <w:iCs/>
          <w:color w:val="000000"/>
          <w:sz w:val="22"/>
          <w:szCs w:val="22"/>
        </w:rPr>
        <w:t xml:space="preserve">Journal of Southwest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532-534.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Gao MX, Wang C, Li SR &amp; Tang ZX (1999) [The study of irradiation on pest in orange and chestnut.] </w:t>
      </w:r>
      <w:r>
        <w:rPr>
          <w:rFonts w:ascii="Calibri" w:hAnsi="Calibri" w:eastAsia="Calibri" w:cs="Calibri"/>
          <w:i/>
          <w:iCs/>
          <w:color w:val="000000"/>
          <w:sz w:val="22"/>
          <w:szCs w:val="22"/>
        </w:rPr>
        <w:t xml:space="preserve">Plant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197-1999.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&amp; Drew RAI (2018) A review of the subgenera </w:t>
      </w:r>
      <w:r>
        <w:rPr>
          <w:rFonts w:ascii="Calibri" w:hAnsi="Calibri" w:eastAsia="Calibri" w:cs="Calibri"/>
          <w:i/>
          <w:iCs/>
          <w:color w:val="000000"/>
          <w:sz w:val="22"/>
          <w:szCs w:val="22"/>
        </w:rPr>
        <w:t xml:space="preserve">Apodacus</w:t>
      </w:r>
      <w:r>
        <w:rPr>
          <w:rFonts w:ascii="Calibri" w:hAnsi="Calibri" w:eastAsia="Calibri" w:cs="Calibri"/>
          <w:color w:val="000000"/>
          <w:sz w:val="22"/>
          <w:szCs w:val="22"/>
        </w:rPr>
        <w:t xml:space="preserve"> Perkins, </w:t>
      </w:r>
      <w:r>
        <w:rPr>
          <w:rFonts w:ascii="Calibri" w:hAnsi="Calibri" w:eastAsia="Calibri" w:cs="Calibri"/>
          <w:i/>
          <w:iCs/>
          <w:color w:val="000000"/>
          <w:sz w:val="22"/>
          <w:szCs w:val="22"/>
        </w:rPr>
        <w:t xml:space="preserve">Hemizeugodacus</w:t>
      </w:r>
      <w:r>
        <w:rPr>
          <w:rFonts w:ascii="Calibri" w:hAnsi="Calibri" w:eastAsia="Calibri" w:cs="Calibri"/>
          <w:color w:val="000000"/>
          <w:sz w:val="22"/>
          <w:szCs w:val="22"/>
        </w:rPr>
        <w:t xml:space="preserve"> Hardy, </w:t>
      </w:r>
      <w:r>
        <w:rPr>
          <w:rFonts w:ascii="Calibri" w:hAnsi="Calibri" w:eastAsia="Calibri" w:cs="Calibri"/>
          <w:i/>
          <w:iCs/>
          <w:color w:val="000000"/>
          <w:sz w:val="22"/>
          <w:szCs w:val="22"/>
        </w:rPr>
        <w:t xml:space="preserve">Neozeugodacus</w:t>
      </w:r>
      <w:r>
        <w:rPr>
          <w:rFonts w:ascii="Calibri" w:hAnsi="Calibri" w:eastAsia="Calibri" w:cs="Calibri"/>
          <w:color w:val="000000"/>
          <w:sz w:val="22"/>
          <w:szCs w:val="22"/>
        </w:rPr>
        <w:t xml:space="preserve"> May, stat. rev., </w:t>
      </w:r>
      <w:r>
        <w:rPr>
          <w:rFonts w:ascii="Calibri" w:hAnsi="Calibri" w:eastAsia="Calibri" w:cs="Calibri"/>
          <w:i/>
          <w:iCs/>
          <w:color w:val="000000"/>
          <w:sz w:val="22"/>
          <w:szCs w:val="22"/>
        </w:rPr>
        <w:t xml:space="preserve">Semicallantra</w:t>
      </w:r>
      <w:r>
        <w:rPr>
          <w:rFonts w:ascii="Calibri" w:hAnsi="Calibri" w:eastAsia="Calibri" w:cs="Calibri"/>
          <w:color w:val="000000"/>
          <w:sz w:val="22"/>
          <w:szCs w:val="22"/>
        </w:rPr>
        <w:t xml:space="preserve"> Drew and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Miyake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105-132.</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&amp; Drew RAI (2019) Further notes on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Miyake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with a revised key to species.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Royer JE (2015) Responses of fruit flies (Tephritidae: Dacinae) to novel male attractants in north Queensland, Australia, and improved lures for some pest species.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411-426.</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Wang XJ &amp; Luo YL (1995) [Advanced study on Bactrocera minax.] </w:t>
      </w:r>
      <w:r>
        <w:rPr>
          <w:rFonts w:ascii="Calibri" w:hAnsi="Calibri" w:eastAsia="Calibri" w:cs="Calibri"/>
          <w:i/>
          <w:iCs/>
          <w:color w:val="000000"/>
          <w:sz w:val="22"/>
          <w:szCs w:val="22"/>
        </w:rPr>
        <w:t xml:space="preserve">Chinese Bulletin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310-315.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Wang XJ (1992) Taxonomic notes on some dacine (Diptera: Tephritidae) fruit flies associated with citrus, olives and cucurbits.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275-280.</w:t>
      </w:r>
    </w:p>
    <w:p>
      <w:pPr>
        <w:widowControl w:val="on"/>
        <w:pBdr/>
        <w:spacing w:before="220" w:after="220" w:line="240" w:lineRule="auto"/>
        <w:ind w:left="0" w:right="0"/>
        <w:jc w:val="left"/>
      </w:pPr>
      <w:r>
        <w:rPr>
          <w:rFonts w:ascii="Calibri" w:hAnsi="Calibri" w:eastAsia="Calibri" w:cs="Calibri"/>
          <w:color w:val="000000"/>
          <w:sz w:val="22"/>
          <w:szCs w:val="22"/>
        </w:rPr>
        <w:t xml:space="preserve">Xia Y, Ma X, Hou B &amp; Ouyang G (2018) A review of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(Diptera: Tephritidae) in China for purpose of safeguarding. </w:t>
      </w:r>
      <w:r>
        <w:rPr>
          <w:rFonts w:ascii="Calibri" w:hAnsi="Calibri" w:eastAsia="Calibri" w:cs="Calibri"/>
          <w:i/>
          <w:iCs/>
          <w:color w:val="000000"/>
          <w:sz w:val="22"/>
          <w:szCs w:val="22"/>
        </w:rPr>
        <w:t xml:space="preserve">Advances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35-61.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(1989) Citrus fruit flies of Sichuan Province (China).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649-654.</w:t>
      </w:r>
    </w:p>
    <w:p>
      <w:pPr>
        <w:widowControl w:val="on"/>
        <w:pBdr/>
        <w:spacing w:before="220" w:after="220" w:line="240" w:lineRule="auto"/>
        <w:ind w:left="0" w:right="0"/>
        <w:jc w:val="left"/>
      </w:pPr>
      <w:r>
        <w:rPr>
          <w:rFonts w:ascii="Calibri" w:hAnsi="Calibri" w:eastAsia="Calibri" w:cs="Calibri"/>
          <w:color w:val="000000"/>
          <w:sz w:val="22"/>
          <w:szCs w:val="22"/>
        </w:rPr>
        <w:t xml:space="preserve">Zhao XQ, Fan JA, Xie CL, Qin Z, Li G, Zhu J, Zeng DB &amp; Kong FC (1995) [Gamma irradiation as a quarantine treatment against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pomelo and orange fruits.] </w:t>
      </w:r>
      <w:r>
        <w:rPr>
          <w:rFonts w:ascii="Calibri" w:hAnsi="Calibri" w:eastAsia="Calibri" w:cs="Calibri"/>
          <w:i/>
          <w:iCs/>
          <w:color w:val="000000"/>
          <w:sz w:val="22"/>
          <w:szCs w:val="22"/>
        </w:rPr>
        <w:t xml:space="preserve">Journal of Southwest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126-129. (in Chinese)</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w:t>
      </w:r>
      <w:hyperlink r:id="rId7195669ed84513808" w:history="1">
        <w:r>
          <w:rPr>
            <w:rFonts w:ascii="Calibri" w:hAnsi="Calibri" w:eastAsia="Calibri" w:cs="Calibri"/>
            <w:color w:val="0000CC"/>
            <w:sz w:val="22"/>
            <w:szCs w:val="22"/>
            <w:u w:val="single"/>
          </w:rPr>
          <w:t xml:space="preserve">https://www.cabi.org/isc/datasheet/8726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EPPO datasheets on pests recommended for regulation. Available online. </w:t>
      </w:r>
      <w:hyperlink r:id="rId2793669ed845138f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(non-European), then as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in the second edition of the book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4510634" name="name6136669ed84513ac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47669ed84513ac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567361">
    <w:multiLevelType w:val="hybridMultilevel"/>
    <w:lvl w:ilvl="0" w:tplc="13545368">
      <w:start w:val="1"/>
      <w:numFmt w:val="decimal"/>
      <w:lvlText w:val="%1."/>
      <w:lvlJc w:val="left"/>
      <w:pPr>
        <w:ind w:left="720" w:hanging="360"/>
      </w:pPr>
    </w:lvl>
    <w:lvl w:ilvl="1" w:tplc="13545368" w:tentative="1">
      <w:start w:val="1"/>
      <w:numFmt w:val="lowerLetter"/>
      <w:lvlText w:val="%2."/>
      <w:lvlJc w:val="left"/>
      <w:pPr>
        <w:ind w:left="1440" w:hanging="360"/>
      </w:pPr>
    </w:lvl>
    <w:lvl w:ilvl="2" w:tplc="13545368" w:tentative="1">
      <w:start w:val="1"/>
      <w:numFmt w:val="lowerRoman"/>
      <w:lvlText w:val="%3."/>
      <w:lvlJc w:val="right"/>
      <w:pPr>
        <w:ind w:left="2160" w:hanging="180"/>
      </w:pPr>
    </w:lvl>
    <w:lvl w:ilvl="3" w:tplc="13545368" w:tentative="1">
      <w:start w:val="1"/>
      <w:numFmt w:val="decimal"/>
      <w:lvlText w:val="%4."/>
      <w:lvlJc w:val="left"/>
      <w:pPr>
        <w:ind w:left="2880" w:hanging="360"/>
      </w:pPr>
    </w:lvl>
    <w:lvl w:ilvl="4" w:tplc="13545368" w:tentative="1">
      <w:start w:val="1"/>
      <w:numFmt w:val="lowerLetter"/>
      <w:lvlText w:val="%5."/>
      <w:lvlJc w:val="left"/>
      <w:pPr>
        <w:ind w:left="3600" w:hanging="360"/>
      </w:pPr>
    </w:lvl>
    <w:lvl w:ilvl="5" w:tplc="13545368" w:tentative="1">
      <w:start w:val="1"/>
      <w:numFmt w:val="lowerRoman"/>
      <w:lvlText w:val="%6."/>
      <w:lvlJc w:val="right"/>
      <w:pPr>
        <w:ind w:left="4320" w:hanging="180"/>
      </w:pPr>
    </w:lvl>
    <w:lvl w:ilvl="6" w:tplc="13545368" w:tentative="1">
      <w:start w:val="1"/>
      <w:numFmt w:val="decimal"/>
      <w:lvlText w:val="%7."/>
      <w:lvlJc w:val="left"/>
      <w:pPr>
        <w:ind w:left="5040" w:hanging="360"/>
      </w:pPr>
    </w:lvl>
    <w:lvl w:ilvl="7" w:tplc="13545368" w:tentative="1">
      <w:start w:val="1"/>
      <w:numFmt w:val="lowerLetter"/>
      <w:lvlText w:val="%8."/>
      <w:lvlJc w:val="left"/>
      <w:pPr>
        <w:ind w:left="5760" w:hanging="360"/>
      </w:pPr>
    </w:lvl>
    <w:lvl w:ilvl="8" w:tplc="13545368" w:tentative="1">
      <w:start w:val="1"/>
      <w:numFmt w:val="lowerRoman"/>
      <w:lvlText w:val="%9."/>
      <w:lvlJc w:val="right"/>
      <w:pPr>
        <w:ind w:left="6480" w:hanging="180"/>
      </w:pPr>
    </w:lvl>
  </w:abstractNum>
  <w:abstractNum w:abstractNumId="42567360">
    <w:multiLevelType w:val="hybridMultilevel"/>
    <w:lvl w:ilvl="0" w:tplc="73020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567360">
    <w:abstractNumId w:val="42567360"/>
  </w:num>
  <w:num w:numId="42567361">
    <w:abstractNumId w:val="425673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7007844" Type="http://schemas.microsoft.com/office/2011/relationships/commentsExtended" Target="commentsExtended.xml"/><Relationship Id="rId323518320" Type="http://schemas.microsoft.com/office/2011/relationships/people" Target="people.xml"/><Relationship Id="rId5081669ed8451078b" Type="http://schemas.openxmlformats.org/officeDocument/2006/relationships/hyperlink" Target="https://gd.eppo.int/taxon/DACUCT/" TargetMode="External"/><Relationship Id="rId6278669ed845107ce" Type="http://schemas.openxmlformats.org/officeDocument/2006/relationships/hyperlink" Target="https://gd.eppo.int/taxon/DACUCT/categorization" TargetMode="External"/><Relationship Id="rId2471669ed8451254f" Type="http://schemas.openxmlformats.org/officeDocument/2006/relationships/hyperlink" Target="https://www.boldsystems.org/index.php/TaxBrowser_TaxonPage?taxid=492655" TargetMode="External"/><Relationship Id="rId3102669ed8451257d" Type="http://schemas.openxmlformats.org/officeDocument/2006/relationships/hyperlink" Target="https://qbank.eppo.int/arthropods/" TargetMode="External"/><Relationship Id="rId3339669ed84512d81" Type="http://schemas.openxmlformats.org/officeDocument/2006/relationships/hyperlink" Target="https://doi.org/10.2903/j.efsa.2020.5931" TargetMode="External"/><Relationship Id="rId8979669ed84512dd9" Type="http://schemas.openxmlformats.org/officeDocument/2006/relationships/hyperlink" Target="https://coffhi.cphst.org/" TargetMode="External"/><Relationship Id="rId7195669ed84513808" Type="http://schemas.openxmlformats.org/officeDocument/2006/relationships/hyperlink" Target="https://www.cabi.org/isc/datasheet/8726" TargetMode="External"/><Relationship Id="rId2793669ed845138f5" Type="http://schemas.openxmlformats.org/officeDocument/2006/relationships/hyperlink" Target="https://gd.eppo.int" TargetMode="External"/><Relationship Id="rId8481669ed84511ce5" Type="http://schemas.openxmlformats.org/officeDocument/2006/relationships/image" Target="media/imgrId8481669ed84511ce5.jpg"/><Relationship Id="rId9047669ed84513ace" Type="http://schemas.openxmlformats.org/officeDocument/2006/relationships/image" Target="media/imgrId9047669ed84513ac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