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latifrons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latifrons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antennalis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Chaetodacus latifrons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latifrons</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Malaysian fruit fly, solanum fruit fly</w:t>
            </w:r>
            <w:hyperlink r:id="rId9160669e76162582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631669e76162589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549210" name="name4702669e761625f45" descr="1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6.jpg"/>
                          <pic:cNvPicPr/>
                        </pic:nvPicPr>
                        <pic:blipFill>
                          <a:blip r:embed="rId3313669e761625f43" cstate="print"/>
                          <a:stretch>
                            <a:fillRect/>
                          </a:stretch>
                        </pic:blipFill>
                        <pic:spPr>
                          <a:xfrm>
                            <a:off x="0" y="0"/>
                            <a:ext cx="2160000" cy="1281600"/>
                          </a:xfrm>
                          <a:prstGeom prst="rect">
                            <a:avLst/>
                          </a:prstGeom>
                          <a:ln w="0">
                            <a:noFill/>
                          </a:ln>
                        </pic:spPr>
                      </pic:pic>
                    </a:graphicData>
                  </a:graphic>
                </wp:inline>
              </w:drawing>
            </w:r>
            <w:hyperlink r:id="rId5570669e76162607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parvula</w:t>
      </w:r>
      <w:r>
        <w:rPr>
          <w:rFonts w:ascii="Calibri" w:hAnsi="Calibri" w:eastAsia="Calibri" w:cs="Calibri"/>
          <w:color w:val="000000"/>
          <w:sz w:val="22"/>
          <w:szCs w:val="22"/>
        </w:rPr>
        <w:t xml:space="preserve"> was considered synonymous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but re-instated as a valid species by Drew &amp; Romig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predominantly infests Solanaceae and is considered a major pest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(Drew &amp; Romig, 2013). In addition, it is reported from a various number of other plant families.  The USDA Compendium of Fruit Fly Host Information (CoFFHI) (McQuate &amp; Liquido 2016)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parkinsonii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macrodon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trifoliolata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rarak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lanceifolium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nummularia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is an Asian species widespread from the Indian subcontinent across Southeast Asia (Drew &amp; Romig, 2013). However, because of the re-instatement of </w:t>
      </w:r>
      <w:r>
        <w:rPr>
          <w:rFonts w:ascii="Calibri" w:hAnsi="Calibri" w:eastAsia="Calibri" w:cs="Calibri"/>
          <w:i/>
          <w:iCs/>
          <w:color w:val="000000"/>
          <w:sz w:val="22"/>
          <w:szCs w:val="22"/>
        </w:rPr>
        <w:t xml:space="preserve">B. parvula</w:t>
      </w:r>
      <w:r>
        <w:rPr>
          <w:rFonts w:ascii="Calibri" w:hAnsi="Calibri" w:eastAsia="Calibri" w:cs="Calibri"/>
          <w:color w:val="000000"/>
          <w:sz w:val="22"/>
          <w:szCs w:val="22"/>
        </w:rPr>
        <w:t xml:space="preserve"> as a distinct species (see Drew &amp; Romig, 2013) the presence in Taiwan needs to be re-assessed. In recent surveys (Doorenweerd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not detected in Taiwan.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introduced into Hawaii, with a first detection in 1983 (Vargas &amp; Nishida, 1985). It was introduced into Africa, with a first report in Tanzania in 2006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Records so far show only a limited spread in Africa with records from Burundi, Kenya, and Tanzania.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recorded from Yonaguni (Okinawa Prefecture, Ryukyu Islands) in Japan. Eradication programs were conducted in this area of Japan, and the species was declared eradicated in 2011 (Fukugasako &amp; Okamoto, 2012). However, since 2010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has been detected on several of the other Ryukyu Islands and again in Yonaguni in 2018 (Taniguchi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3360339" name="name1323669e7616277fb" descr="DACU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LA_distribution_map.jpg"/>
                    <pic:cNvPicPr/>
                  </pic:nvPicPr>
                  <pic:blipFill>
                    <a:blip r:embed="rId6314669e7616277f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Burundi, Congo, Democratic republic of the, Kenya,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China (Fujian, Guangdong, Guangxi, Guizhou, Hainan, Jiangxi, Xianggang (Hong Kong), Yunnan), East Timor, India (Bihar, Himachal Pradesh, Karnataka, Kerala, Mizoram, Tamil Nadu, West Bengal), Indonesia (Kalimantan, Sulawesi, Sumatra), Japan (Ryukyu Archipelago), Laos, Malaysia (Sabah, West), Myanmar, Pakistan,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can complete its life cycle in about 21-24 days (Vargas &amp; Nishida, 1985a; Srikachar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with egg incubation taking about 2-3 days, while larval stage lasts about 8-10 days. Duration of the pupal stage is about 10-14 days. Longevity records vary: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 that adult female longevity can vary between 15 to 80 days depending on the temperature, while Srikachar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give an average longevity 131 to 148 days for male and female specimens respectively.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indicate that reproduction is suppressed at 16°C and larval survival rate at that temperature was limited to 2.6%. Takano (2014) showed that an extended period at 8°C kills the majority of the flies (95% mortality after 13 days). Shimizu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suggest that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can overwinter as an adult in areas where winter conditions occur.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in addition, a key to this and other tephritids for the 3rd-instar larvae is available in Balmès &amp; Mouttet (2017) and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after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large oval black spots; postpronotal lobes and notopleura yellow; scutum dull black; lateral postsutural yellow vittae present; medial postsutural yellow vitta absent; no yellow spot anterior to notopleural suture; mesopleural stripe extending to anterior notopleural seta dorsally; scutellum yellow; legs with all segments fulvous except hind tibiae fuscous; femora sometimes with a dark preapical marking; mid tibiae each with an apical black spur; wing with cells bc and c colourless, microtrichia in outer corner of cell c only; a narrow fuscous costal band slightly overlapping R2+3 and expanding into a small spot around apex of R4+5; a medium-width fuscous anal streak; all abdominal terga entirely dark orange-brown; abdominal sterna pale, generally red-brown.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Pecten absent from abdominal tergum III. Ovipositor basal segment fuscous to black, dorsoventrally compressed and tapering posteriorly in dorsal view; ratio of length of oviscape to length of tergum V, 0.5:1; aculeus apex trilobed.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a diagnostic protocol for this species has been published by EPPO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however the Barcoding Index Number Systems (BINs) in which this species is represented, also include a few unidentified / possibly misidentified reference sequences. However, at present no DNA barcodes are available for the closely related species </w:t>
      </w:r>
      <w:r>
        <w:rPr>
          <w:rFonts w:ascii="Calibri" w:hAnsi="Calibri" w:eastAsia="Calibri" w:cs="Calibri"/>
          <w:i/>
          <w:iCs/>
          <w:color w:val="000000"/>
          <w:sz w:val="22"/>
          <w:szCs w:val="22"/>
        </w:rPr>
        <w:t xml:space="preserve">B. parvula. </w:t>
      </w:r>
      <w:r>
        <w:rPr>
          <w:rFonts w:ascii="Calibri" w:hAnsi="Calibri" w:eastAsia="Calibri" w:cs="Calibri"/>
          <w:color w:val="000000"/>
          <w:sz w:val="22"/>
          <w:szCs w:val="22"/>
        </w:rPr>
        <w:t xml:space="preserve">Sequences are available in the </w:t>
      </w:r>
      <w:hyperlink r:id="rId3274669e761627e0a"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3756669e761627e55"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 specimens can be attracted by latilure (α-ionol) enhanced with cade oil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However, experiments in Tanzania using this lure were not very successful (Mziray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recent years several 3-oxygenated α-ionone analogs and other related compounds were isolated and shown to act as a stronger attractant than latilure (Nishida &amp; Tan, 2016).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is mainly a pest species of solanaceous crops. While in some places the economic damage appears to be limited (e.g.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sometimes high infestation rates are recorded. For example, Vijaysegaran &amp; Osman (1991) report 60-80% infestation of chilies in Malaysia.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w:t>
      </w:r>
    </w:p>
    <w:p>
      <w:pPr>
        <w:widowControl w:val="on"/>
        <w:pBdr/>
        <w:spacing w:before="220" w:after="220" w:line="240" w:lineRule="auto"/>
        <w:ind w:left="0" w:right="0"/>
        <w:jc w:val="both"/>
      </w:pPr>
      <w:r>
        <w:rPr>
          <w:rFonts w:ascii="Calibri" w:hAnsi="Calibri" w:eastAsia="Calibri" w:cs="Calibri"/>
          <w:color w:val="000000"/>
          <w:sz w:val="22"/>
          <w:szCs w:val="22"/>
        </w:rPr>
        <w:t xml:space="preserve">SIT (Sterile Insect Technique) application specifically for this species was used, in combination with other control methods (bait spraying, host plant removal) at Yonaguni Island (Japan) and resulted in eradication (Fukugasako &amp; Okamoto, 2012. But see above under Geographical distribution).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is a known pest of several commercial fruit crops in the area where it is present. It can be moved in trade with infested fruit. No detailed study has been made on climatic suitability of the EPPO region for this species; there is only a CLIMEX based predictive model of this species in China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This model indicates that the projected distribution in this country is below 33.442°N.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indicated that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is adapted to a relative narrower range of temperatures compared to other fruit fly species in Hawaii. This and the reduced larval and adult survival rates at lower temperature (see above, under biology) may give indications that the major part of the EPPO region is largely unsuitable for permanent establishment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However, even transient populations could have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4868669e76162833e" w:history="1">
        <w:r>
          <w:rPr>
            <w:rFonts w:ascii="Calibri" w:hAnsi="Calibri" w:eastAsia="Calibri" w:cs="Calibri"/>
            <w:color w:val="0000CC"/>
            <w:sz w:val="22"/>
            <w:szCs w:val="22"/>
            <w:u w:val="single"/>
          </w:rPr>
          <w:t xml:space="preserve">https://www.delta-intkey.com/ffl/www/bac_tryo.htm</w:t>
        </w:r>
      </w:hyperlink>
      <w:r>
        <w:rPr>
          <w:rFonts w:ascii="Calibri" w:hAnsi="Calibri" w:eastAsia="Calibri" w:cs="Calibri"/>
          <w:color w:val="000000"/>
          <w:sz w:val="22"/>
          <w:szCs w:val="22"/>
        </w:rPr>
        <w:t xml:space="preserve"> [accessed 15/11/2020]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Doorenweerd C, Leblanc L, Hsu YF, Huang CL, Lin YC, San Jose M &amp; Rubinoff D (2019) Taiwan's Dacini Fruit Flies: Rare Endemics and Abundant Pests, along Altitudinal Gradients," Pacific Science 73(1), 35-59,. </w:t>
      </w:r>
      <w:hyperlink r:id="rId2039669e7616283a1" w:history="1">
        <w:r>
          <w:rPr>
            <w:rFonts w:ascii="Calibri" w:hAnsi="Calibri" w:eastAsia="Calibri" w:cs="Calibri"/>
            <w:color w:val="0000CC"/>
            <w:sz w:val="22"/>
            <w:szCs w:val="22"/>
            <w:u w:val="single"/>
          </w:rPr>
          <w:t xml:space="preserve">https://doi.org/10.2984/73.1.3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4599669e7616283f7"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Diagnostics PM7/142 (1) </w:t>
      </w:r>
      <w:r>
        <w:rPr>
          <w:rFonts w:ascii="Calibri" w:hAnsi="Calibri" w:eastAsia="Calibri" w:cs="Calibri"/>
          <w:i/>
          <w:iCs/>
          <w:color w:val="000000"/>
          <w:sz w:val="22"/>
          <w:szCs w:val="22"/>
        </w:rPr>
        <w:t xml:space="preserve">Bactrocera latifrons.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41-48.</w:t>
      </w:r>
    </w:p>
    <w:p>
      <w:pPr>
        <w:widowControl w:val="on"/>
        <w:pBdr/>
        <w:spacing w:before="220" w:after="220" w:line="240" w:lineRule="auto"/>
        <w:ind w:left="0" w:right="0"/>
        <w:jc w:val="left"/>
      </w:pPr>
      <w:r>
        <w:rPr>
          <w:rFonts w:ascii="Calibri" w:hAnsi="Calibri" w:eastAsia="Calibri" w:cs="Calibri"/>
          <w:color w:val="000000"/>
          <w:sz w:val="22"/>
          <w:szCs w:val="22"/>
        </w:rPr>
        <w:t xml:space="preserve">Fukugasako A &amp; Okamoto M (2012) Achievement of eradication of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(Hendel) from Yonaguni Island, Okinawa. </w:t>
      </w:r>
      <w:r>
        <w:rPr>
          <w:rFonts w:ascii="Calibri" w:hAnsi="Calibri" w:eastAsia="Calibri" w:cs="Calibri"/>
          <w:i/>
          <w:iCs/>
          <w:color w:val="000000"/>
          <w:sz w:val="22"/>
          <w:szCs w:val="22"/>
        </w:rPr>
        <w:t xml:space="preserve">Japanese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13-17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Ma X, Li Z, Ni W, Qu W, Wu J, Wan F &amp; Hu X (2012) The current and future potential geographical distribution of the Solanum fruit fly,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(Diptera: Tephritidae) in China. </w:t>
      </w:r>
      <w:r>
        <w:rPr>
          <w:rFonts w:ascii="Calibri" w:hAnsi="Calibri" w:eastAsia="Calibri" w:cs="Calibri"/>
          <w:i/>
          <w:iCs/>
          <w:color w:val="000000"/>
          <w:sz w:val="22"/>
          <w:szCs w:val="22"/>
        </w:rPr>
        <w:t xml:space="preserve">International Federation for Information Processing AICT </w:t>
      </w:r>
      <w:r>
        <w:rPr>
          <w:rFonts w:ascii="Calibri" w:hAnsi="Calibri" w:eastAsia="Calibri" w:cs="Calibri"/>
          <w:b/>
          <w:bCs/>
          <w:color w:val="000000"/>
          <w:sz w:val="22"/>
          <w:szCs w:val="22"/>
        </w:rPr>
        <w:t xml:space="preserve">368</w:t>
      </w:r>
      <w:r>
        <w:rPr>
          <w:rFonts w:ascii="Calibri" w:hAnsi="Calibri" w:eastAsia="Calibri" w:cs="Calibri"/>
          <w:color w:val="000000"/>
          <w:sz w:val="22"/>
          <w:szCs w:val="22"/>
        </w:rPr>
        <w:t xml:space="preserve">, 236-246.</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&amp; Liquido NJ (2016) Provisional list of suitable host plants of </w:t>
      </w:r>
      <w:r>
        <w:rPr>
          <w:rFonts w:ascii="Calibri" w:hAnsi="Calibri" w:eastAsia="Calibri" w:cs="Calibri"/>
          <w:i/>
          <w:iCs/>
          <w:color w:val="000000"/>
          <w:sz w:val="22"/>
          <w:szCs w:val="22"/>
        </w:rPr>
        <w:t xml:space="preserve">Bactrocera (Bactrocera) carambolae</w:t>
      </w:r>
      <w:r>
        <w:rPr>
          <w:rFonts w:ascii="Calibri" w:hAnsi="Calibri" w:eastAsia="Calibri" w:cs="Calibri"/>
          <w:color w:val="000000"/>
          <w:sz w:val="22"/>
          <w:szCs w:val="22"/>
        </w:rPr>
        <w:t xml:space="preserve"> (Hendel) (Diptera: Tephritidae), Version 1.0. Available online at USDA Compendium of Fruit Fly Host Information (CoFFHI). </w:t>
      </w:r>
      <w:hyperlink r:id="rId8791669e7616285e6"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Keum YS, Silva CD, Li QX &amp; Jang EB (2004) Active ingredients in cade oil that synergize attractiveness of alpha-Ionol to male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862-870.</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De Meyer M, White IM, Maerere A &amp; Makundi RH (2007) Detection of the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(Hendel) in Tanzania (Dipt., Tephritidae).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501-503.</w:t>
      </w:r>
    </w:p>
    <w:p>
      <w:pPr>
        <w:widowControl w:val="on"/>
        <w:pBdr/>
        <w:spacing w:before="220" w:after="220" w:line="240" w:lineRule="auto"/>
        <w:ind w:left="0" w:right="0"/>
        <w:jc w:val="left"/>
      </w:pPr>
      <w:r>
        <w:rPr>
          <w:rFonts w:ascii="Calibri" w:hAnsi="Calibri" w:eastAsia="Calibri" w:cs="Calibri"/>
          <w:color w:val="000000"/>
          <w:sz w:val="22"/>
          <w:szCs w:val="22"/>
        </w:rPr>
        <w:t xml:space="preserve">Mziray HA, Makundi RH, Mwatawala MW, Maerere 1 &amp; De Meyer M (2010) Host use of </w:t>
      </w:r>
      <w:r>
        <w:rPr>
          <w:rFonts w:ascii="Calibri" w:hAnsi="Calibri" w:eastAsia="Calibri" w:cs="Calibri"/>
          <w:i/>
          <w:iCs/>
          <w:color w:val="000000"/>
          <w:sz w:val="22"/>
          <w:szCs w:val="22"/>
        </w:rPr>
        <w:t xml:space="preserve">Bactrocela latifrons</w:t>
      </w:r>
      <w:r>
        <w:rPr>
          <w:rFonts w:ascii="Calibri" w:hAnsi="Calibri" w:eastAsia="Calibri" w:cs="Calibri"/>
          <w:color w:val="000000"/>
          <w:sz w:val="22"/>
          <w:szCs w:val="22"/>
        </w:rPr>
        <w:t xml:space="preserve"> (Hendel), a new invasive tephritid species in Tanzania.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 70 – 76. </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R &amp; Tan KH (2016) Search for new fruit fly attractants from plants: a review.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249-262.</w:t>
      </w:r>
    </w:p>
    <w:p>
      <w:pPr>
        <w:widowControl w:val="on"/>
        <w:pBdr/>
        <w:spacing w:before="220" w:after="220" w:line="240" w:lineRule="auto"/>
        <w:ind w:left="0" w:right="0"/>
        <w:jc w:val="left"/>
      </w:pPr>
      <w:r>
        <w:rPr>
          <w:rFonts w:ascii="Calibri" w:hAnsi="Calibri" w:eastAsia="Calibri" w:cs="Calibri"/>
          <w:color w:val="000000"/>
          <w:sz w:val="22"/>
          <w:szCs w:val="22"/>
        </w:rPr>
        <w:t xml:space="preserve">Shimizu Y, Kohama T, Uesato T, Matsuyama T &amp; Yamagishi M (2007) Invasion of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(Diptera: Tephritidae) to Yonaguni Island, Okinawa Prefecture,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269-275.</w:t>
      </w:r>
    </w:p>
    <w:p>
      <w:pPr>
        <w:widowControl w:val="on"/>
        <w:pBdr/>
        <w:spacing w:before="220" w:after="220" w:line="240" w:lineRule="auto"/>
        <w:ind w:left="0" w:right="0"/>
        <w:jc w:val="left"/>
      </w:pPr>
      <w:r>
        <w:rPr>
          <w:rFonts w:ascii="Calibri" w:hAnsi="Calibri" w:eastAsia="Calibri" w:cs="Calibri"/>
          <w:color w:val="000000"/>
          <w:sz w:val="22"/>
          <w:szCs w:val="22"/>
        </w:rPr>
        <w:t xml:space="preserve">Srikachar S, Plodkornburee W &amp; Jamroenma K (2010) Fruit fly on chilli in Thailand: species and its biology. </w:t>
      </w:r>
      <w:r>
        <w:rPr>
          <w:rFonts w:ascii="Calibri" w:hAnsi="Calibri" w:eastAsia="Calibri" w:cs="Calibri"/>
          <w:i/>
          <w:iCs/>
          <w:color w:val="000000"/>
          <w:sz w:val="22"/>
          <w:szCs w:val="22"/>
        </w:rPr>
        <w:t xml:space="preserve">Abstract volume 8</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Symposium on Fruit Flies of Economic Importance, Valencia</w:t>
      </w:r>
      <w:r>
        <w:rPr>
          <w:rFonts w:ascii="Calibri" w:hAnsi="Calibri" w:eastAsia="Calibri" w:cs="Calibri"/>
          <w:color w:val="000000"/>
          <w:sz w:val="22"/>
          <w:szCs w:val="22"/>
        </w:rPr>
        <w:t xml:space="preserve">, 175.</w:t>
      </w:r>
    </w:p>
    <w:p>
      <w:pPr>
        <w:widowControl w:val="on"/>
        <w:pBdr/>
        <w:spacing w:before="220" w:after="220" w:line="240" w:lineRule="auto"/>
        <w:ind w:left="0" w:right="0"/>
        <w:jc w:val="left"/>
      </w:pPr>
      <w:r>
        <w:rPr>
          <w:rFonts w:ascii="Calibri" w:hAnsi="Calibri" w:eastAsia="Calibri" w:cs="Calibri"/>
          <w:color w:val="000000"/>
          <w:sz w:val="22"/>
          <w:szCs w:val="22"/>
        </w:rPr>
        <w:t xml:space="preserve">Takano S (2014) Survival of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(Diptera: Tephritidae) adults under constant and fluctuating low temperatures.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411-49.</w:t>
      </w:r>
    </w:p>
    <w:p>
      <w:pPr>
        <w:widowControl w:val="on"/>
        <w:pBdr/>
        <w:spacing w:before="220" w:after="220" w:line="240" w:lineRule="auto"/>
        <w:ind w:left="0" w:right="0"/>
        <w:jc w:val="left"/>
      </w:pPr>
      <w:r>
        <w:rPr>
          <w:rFonts w:ascii="Calibri" w:hAnsi="Calibri" w:eastAsia="Calibri" w:cs="Calibri"/>
          <w:color w:val="000000"/>
          <w:sz w:val="22"/>
          <w:szCs w:val="22"/>
        </w:rPr>
        <w:t xml:space="preserve">Taniguchi M, Sadoyama Y &amp; Kawano S (2018) Several findings on avoidance of injured to the Solanum fruit fly in Okinawa Prefecture. </w:t>
      </w:r>
      <w:r>
        <w:rPr>
          <w:rFonts w:ascii="Calibri" w:hAnsi="Calibri" w:eastAsia="Calibri" w:cs="Calibri"/>
          <w:i/>
          <w:iCs/>
          <w:color w:val="000000"/>
          <w:sz w:val="22"/>
          <w:szCs w:val="22"/>
        </w:rPr>
        <w:t xml:space="preserve">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72(9)</w:t>
      </w:r>
      <w:r>
        <w:rPr>
          <w:rFonts w:ascii="Calibri" w:hAnsi="Calibri" w:eastAsia="Calibri" w:cs="Calibri"/>
          <w:color w:val="000000"/>
          <w:sz w:val="22"/>
          <w:szCs w:val="22"/>
        </w:rPr>
        <w:t xml:space="preserve">, 558-562.[in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&amp; T. Nishida (1985) Life history and demographic parameters of </w:t>
      </w:r>
      <w:r>
        <w:rPr>
          <w:rFonts w:ascii="Calibri" w:hAnsi="Calibri" w:eastAsia="Calibri" w:cs="Calibri"/>
          <w:i/>
          <w:iCs/>
          <w:color w:val="000000"/>
          <w:sz w:val="22"/>
          <w:szCs w:val="22"/>
        </w:rPr>
        <w:t xml:space="preserve">Dacus latifrons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1242–1244.</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AW, Jang EB, Armstrong JW &amp; Kanehisa D (1996) Survival and development of immature stages of four Hawaiian fruit flies (Diptera: Tephritidae) reared at five constant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64-99.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AW, Kanehisa D, Jang EB &amp; Armstrong JW (1997) Demography of four Hawaiian fruit flies (Diptera: Tephritidae) reared at five constant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162-168</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Vijaysegaran S &amp; Osman MS (1991) Fruit flies in Peninsular Malaysia: their economic importance and control strategies. In: Kawasaki, K., O. Iwahashi &amp; K. Kaneshiro (Eds) </w:t>
      </w:r>
      <w:r>
        <w:rPr>
          <w:rFonts w:ascii="Calibri" w:hAnsi="Calibri" w:eastAsia="Calibri" w:cs="Calibri"/>
          <w:i/>
          <w:iCs/>
          <w:color w:val="000000"/>
          <w:sz w:val="22"/>
          <w:szCs w:val="22"/>
        </w:rPr>
        <w:t xml:space="preserve">Proceedings of the International Symposium on Biology and Control of Fruit Flies, Okinawa</w:t>
      </w:r>
      <w:r>
        <w:rPr>
          <w:rFonts w:ascii="Calibri" w:hAnsi="Calibri" w:eastAsia="Calibri" w:cs="Calibri"/>
          <w:color w:val="000000"/>
          <w:sz w:val="22"/>
          <w:szCs w:val="22"/>
        </w:rPr>
        <w:t xml:space="preserve">, 105-115. </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1600669e761628c68" w:history="1">
        <w:r>
          <w:rPr>
            <w:rFonts w:ascii="Calibri" w:hAnsi="Calibri" w:eastAsia="Calibri" w:cs="Calibri"/>
            <w:color w:val="0000CC"/>
            <w:sz w:val="22"/>
            <w:szCs w:val="22"/>
            <w:u w:val="single"/>
          </w:rPr>
          <w:t xml:space="preserve">https://www.cabi.org/isc/datasheet/8719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EPPO datasheets on pests recommended for regulation. Available online. </w:t>
      </w:r>
      <w:hyperlink r:id="rId6752669e761628d1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4994060" name="name5259669e761628df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81669e761628df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036062">
    <w:multiLevelType w:val="hybridMultilevel"/>
    <w:lvl w:ilvl="0" w:tplc="99973048">
      <w:start w:val="1"/>
      <w:numFmt w:val="decimal"/>
      <w:lvlText w:val="%1."/>
      <w:lvlJc w:val="left"/>
      <w:pPr>
        <w:ind w:left="720" w:hanging="360"/>
      </w:pPr>
    </w:lvl>
    <w:lvl w:ilvl="1" w:tplc="99973048" w:tentative="1">
      <w:start w:val="1"/>
      <w:numFmt w:val="lowerLetter"/>
      <w:lvlText w:val="%2."/>
      <w:lvlJc w:val="left"/>
      <w:pPr>
        <w:ind w:left="1440" w:hanging="360"/>
      </w:pPr>
    </w:lvl>
    <w:lvl w:ilvl="2" w:tplc="99973048" w:tentative="1">
      <w:start w:val="1"/>
      <w:numFmt w:val="lowerRoman"/>
      <w:lvlText w:val="%3."/>
      <w:lvlJc w:val="right"/>
      <w:pPr>
        <w:ind w:left="2160" w:hanging="180"/>
      </w:pPr>
    </w:lvl>
    <w:lvl w:ilvl="3" w:tplc="99973048" w:tentative="1">
      <w:start w:val="1"/>
      <w:numFmt w:val="decimal"/>
      <w:lvlText w:val="%4."/>
      <w:lvlJc w:val="left"/>
      <w:pPr>
        <w:ind w:left="2880" w:hanging="360"/>
      </w:pPr>
    </w:lvl>
    <w:lvl w:ilvl="4" w:tplc="99973048" w:tentative="1">
      <w:start w:val="1"/>
      <w:numFmt w:val="lowerLetter"/>
      <w:lvlText w:val="%5."/>
      <w:lvlJc w:val="left"/>
      <w:pPr>
        <w:ind w:left="3600" w:hanging="360"/>
      </w:pPr>
    </w:lvl>
    <w:lvl w:ilvl="5" w:tplc="99973048" w:tentative="1">
      <w:start w:val="1"/>
      <w:numFmt w:val="lowerRoman"/>
      <w:lvlText w:val="%6."/>
      <w:lvlJc w:val="right"/>
      <w:pPr>
        <w:ind w:left="4320" w:hanging="180"/>
      </w:pPr>
    </w:lvl>
    <w:lvl w:ilvl="6" w:tplc="99973048" w:tentative="1">
      <w:start w:val="1"/>
      <w:numFmt w:val="decimal"/>
      <w:lvlText w:val="%7."/>
      <w:lvlJc w:val="left"/>
      <w:pPr>
        <w:ind w:left="5040" w:hanging="360"/>
      </w:pPr>
    </w:lvl>
    <w:lvl w:ilvl="7" w:tplc="99973048" w:tentative="1">
      <w:start w:val="1"/>
      <w:numFmt w:val="lowerLetter"/>
      <w:lvlText w:val="%8."/>
      <w:lvlJc w:val="left"/>
      <w:pPr>
        <w:ind w:left="5760" w:hanging="360"/>
      </w:pPr>
    </w:lvl>
    <w:lvl w:ilvl="8" w:tplc="99973048" w:tentative="1">
      <w:start w:val="1"/>
      <w:numFmt w:val="lowerRoman"/>
      <w:lvlText w:val="%9."/>
      <w:lvlJc w:val="right"/>
      <w:pPr>
        <w:ind w:left="6480" w:hanging="180"/>
      </w:pPr>
    </w:lvl>
  </w:abstractNum>
  <w:abstractNum w:abstractNumId="71036061">
    <w:multiLevelType w:val="hybridMultilevel"/>
    <w:lvl w:ilvl="0" w:tplc="717081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036061">
    <w:abstractNumId w:val="71036061"/>
  </w:num>
  <w:num w:numId="71036062">
    <w:abstractNumId w:val="710360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1872935" Type="http://schemas.microsoft.com/office/2011/relationships/commentsExtended" Target="commentsExtended.xml"/><Relationship Id="rId435567456" Type="http://schemas.microsoft.com/office/2011/relationships/people" Target="people.xml"/><Relationship Id="rId9160669e761625828" Type="http://schemas.openxmlformats.org/officeDocument/2006/relationships/hyperlink" Target="https://gd.eppo.int/taxon/DACULA/" TargetMode="External"/><Relationship Id="rId7631669e761625891" Type="http://schemas.openxmlformats.org/officeDocument/2006/relationships/hyperlink" Target="https://gd.eppo.int/taxon/DACULA/categorization" TargetMode="External"/><Relationship Id="rId5570669e76162607a" Type="http://schemas.openxmlformats.org/officeDocument/2006/relationships/hyperlink" Target="https://gd.eppo.int/taxon/DACULA/photos" TargetMode="External"/><Relationship Id="rId3274669e761627e0a" Type="http://schemas.openxmlformats.org/officeDocument/2006/relationships/hyperlink" Target="http://www.boldsystems.org/index.php/Taxbrowser_Taxonpage?taxon=Bactrocera+latifrons&amp;searchTax=" TargetMode="External"/><Relationship Id="rId3756669e761627e55" Type="http://schemas.openxmlformats.org/officeDocument/2006/relationships/hyperlink" Target="https://qbank.eppo.int/arthropods/taxon/DACULA/" TargetMode="External"/><Relationship Id="rId4868669e76162833e" Type="http://schemas.openxmlformats.org/officeDocument/2006/relationships/hyperlink" Target="https://www.delta-intkey.com/ffl/www/bac_tryo.htm" TargetMode="External"/><Relationship Id="rId2039669e7616283a1" Type="http://schemas.openxmlformats.org/officeDocument/2006/relationships/hyperlink" Target="https://doi.org/10.2984/73.1.3" TargetMode="External"/><Relationship Id="rId4599669e7616283f7" Type="http://schemas.openxmlformats.org/officeDocument/2006/relationships/hyperlink" Target="https://doi.org/10.2903/j.efsa.2020.5931" TargetMode="External"/><Relationship Id="rId8791669e7616285e6" Type="http://schemas.openxmlformats.org/officeDocument/2006/relationships/hyperlink" Target="https://coffhi.cphst.org/" TargetMode="External"/><Relationship Id="rId1600669e761628c68" Type="http://schemas.openxmlformats.org/officeDocument/2006/relationships/hyperlink" Target="https://www.cabi.org/isc/datasheet/8719" TargetMode="External"/><Relationship Id="rId6752669e761628d1c" Type="http://schemas.openxmlformats.org/officeDocument/2006/relationships/hyperlink" Target="https://gd.eppo.int" TargetMode="External"/><Relationship Id="rId3313669e761625f43" Type="http://schemas.openxmlformats.org/officeDocument/2006/relationships/image" Target="media/imgrId3313669e761625f43.jpg"/><Relationship Id="rId6314669e7616277f8" Type="http://schemas.openxmlformats.org/officeDocument/2006/relationships/image" Target="media/imgrId6314669e7616277f8.jpg"/><Relationship Id="rId5281669e761628df7" Type="http://schemas.openxmlformats.org/officeDocument/2006/relationships/image" Target="media/imgrId5281669e761628df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