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tsuneonis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tsuneonis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cheni</w:t>
            </w:r>
            <w:r>
              <w:rPr>
                <w:rFonts w:ascii="Calibri" w:hAnsi="Calibri" w:eastAsia="Calibri" w:cs="Calibri"/>
                <w:color w:val="000000"/>
                <w:position w:val="-3"/>
                <w:sz w:val="22"/>
                <w:szCs w:val="22"/>
              </w:rPr>
              <w:t xml:space="preserve"> Chao, </w:t>
            </w:r>
            <w:r>
              <w:rPr>
                <w:rFonts w:ascii="Calibri" w:hAnsi="Calibri" w:eastAsia="Calibri" w:cs="Calibri"/>
                <w:i/>
                <w:iCs/>
                <w:color w:val="000000"/>
                <w:position w:val="-3"/>
                <w:sz w:val="22"/>
                <w:szCs w:val="22"/>
              </w:rPr>
              <w:t xml:space="preserve">Dacus tsuneonis</w:t>
            </w:r>
            <w:r>
              <w:rPr>
                <w:rFonts w:ascii="Calibri" w:hAnsi="Calibri" w:eastAsia="Calibri" w:cs="Calibri"/>
                <w:color w:val="000000"/>
                <w:position w:val="-3"/>
                <w:sz w:val="22"/>
                <w:szCs w:val="22"/>
              </w:rPr>
              <w:t xml:space="preserve"> Miyake, </w:t>
            </w:r>
            <w:r>
              <w:rPr>
                <w:rFonts w:ascii="Calibri" w:hAnsi="Calibri" w:eastAsia="Calibri" w:cs="Calibri"/>
                <w:i/>
                <w:iCs/>
                <w:color w:val="000000"/>
                <w:position w:val="-3"/>
                <w:sz w:val="22"/>
                <w:szCs w:val="22"/>
              </w:rPr>
              <w:t xml:space="preserve">Tetradacus tsuneonis</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orange fly, Japanese orange fruit fly</w:t>
            </w:r>
            <w:hyperlink r:id="rId367067858672dde3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5067858672dde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DACUTS</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tsuneonis. </w:t>
      </w:r>
      <w:r>
        <w:rPr>
          <w:rFonts w:ascii="Calibri" w:hAnsi="Calibri" w:eastAsia="Calibri" w:cs="Calibri"/>
          <w:color w:val="000000"/>
          <w:sz w:val="22"/>
          <w:szCs w:val="22"/>
        </w:rPr>
        <w:t xml:space="preserve">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the former being the main potential hosts in the EPPO region.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parts of Japan and southern China. Older records from Taiwan and Vietnam are considered unsubstantiated and not confirmed.</w:t>
      </w:r>
    </w:p>
    <w:p>
      <w:r>
        <w:drawing>
          <wp:inline distT="0" distB="0" distL="0" distR="0">
            <wp:extent cx="6120000" cy="3067200"/>
            <wp:docPr id="87531135" name="name564767858672df1c8" descr="DACUT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S_distribution_map.jpg"/>
                    <pic:cNvPicPr/>
                  </pic:nvPicPr>
                  <pic:blipFill>
                    <a:blip r:embed="rId697167858672df1c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Hainan, Henan, Hubei, Hunan, Jiangsu, Jiangxi, Shaanxi, Shanghai, Sichuan, Yunnan, Zhejiang), Japan (Honshu, Kyushu, Ryukyu Archipelago)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The general life cycle is considered similar to the one of other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infesting fruits: eggs are laid below the skin of the host fruit. Three larval stages develop inside the fruit, feeding on the plant tissue. Once mature the third instar larva will leave the fruit, dig down into the soil and turn into a pupa enclosed in a puparium. In China,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reported to have a single generation per year and to overwinter as a pupa in the soil (Zhang, 1989).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suggest that the species has a pupal diapause.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mention the presence of adults from April to September in Guangdong and Guangxi, China, while in Japan adults are present from early June till October. In general,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has a similar biology to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is described in some detail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with fuscous on anteromedial hump; orbital setae black: 1 superior 2 inferior; lunule red-brown. Vertex red-brown. Face fulvous with a pair of small- to medium-sized oval black spots. Genae fulvous with a very small dark fuscous subocular spot; black seta present. Occiput red-brown, fulvous along eye margins; occipital row with a large number of small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occasionally with irregularly shaped small areas of fuscous. Pleural areas red-brown without dark markings. Yellow markings as follows: postpronotal lobes; notopleura; a moderately broad lateral yellow band joining postpronotal lobe and notopleuron; mesopleural stripe reaching the anterior notopleural seta dorsally, continuing to the katepisternum as a large yellow spot, anterior margin convex; almost entire surfaces of anatergite and katatergite; a pair of moderately broad parallel-sided lateral postsutural vittae ending at intra-alar. seta and turned inwards along notopleural suture; a short medial postsutural vitta. Yellow spot anterior to notopleural suture absent. Postnotum red-brown. Scutellum yellow except for narrow red-brown basal band. </w:t>
      </w:r>
    </w:p>
    <w:p>
      <w:pPr>
        <w:widowControl w:val="on"/>
        <w:pBdr/>
        <w:spacing w:before="220" w:after="220" w:line="240" w:lineRule="auto"/>
        <w:ind w:left="0" w:right="0"/>
        <w:jc w:val="both"/>
      </w:pPr>
      <w:r>
        <w:rPr>
          <w:rFonts w:ascii="Calibri" w:hAnsi="Calibri" w:eastAsia="Calibri" w:cs="Calibri"/>
          <w:color w:val="000000"/>
          <w:sz w:val="22"/>
          <w:szCs w:val="22"/>
        </w:rPr>
        <w:t xml:space="preserve">Setae: 2 scutellar, 1 intra-alar, 1 anterior supra-alar, 1 posterior supra-alar, 1 mesopleural, 1 notopleural, 2 scapular; prescutellar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fuscous on extreme apical ventral surfaces of mid femora; fore and mid tibiae entirely fulvous, hind tibia red-brown; fore and hind tarsal segments with basal segment fulvous and apical four segments red-brown, mid tarsie with all segment;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9.2mm; cells bc and c with a strong pale fulvous tint; microtrichia in outer corner of cell c only; remainder of wings colourless except dark fuscous cell sc, broad fuscous costal band confluent with R4+5 basally overlapping this vein just beyond r-m crossvein to apex of the wing, anal streak reduced to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(not as petiolate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terga free; pecten present on tergum III. Tergum I and sterna I and II wider than long. Terga I and II vary from red-brown to fulvous; terga III-V red-brown to fulvous with a dark black ‘T’ pattern consisting of a narrow transverse dark fuscous to black band across anterior margin of tergum III and a narrow medial longitudinal band over all three terga (in some specimens the anterolateral corners of tergum IV are fuscous to dark fuscous); a pair of oval red-brown shining spots on tergum V. Posterior lobe of surstylus short, sternum V with a slight concavity on posterior margin. Abdominal sterna pale.</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and strongly bulbous and rounded basally and narrowing to a cylinder apically, ratio of length of oviscape to length of tergum V, 1.8:1; apex of piercer trilobed.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is morphologically similar to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but anterior supra-alar setae are present. It has a complete lateral yellow band joining postpronotal lobe and the notopleuron and the female has a short ovipositor with a trilobed apex. Full details of the separation of these species were given by Drew &amp; Romig (2013). Hancock &amp; Drew (2019) provide an identification key for all representatives of the subgenus </w:t>
      </w:r>
      <w:r>
        <w:rPr>
          <w:rFonts w:ascii="Calibri" w:hAnsi="Calibri" w:eastAsia="Calibri" w:cs="Calibri"/>
          <w:i/>
          <w:iCs/>
          <w:color w:val="000000"/>
          <w:sz w:val="22"/>
          <w:szCs w:val="22"/>
        </w:rPr>
        <w:t xml:space="preserve">Tetradacus.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BOLD,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491367858672df8e5"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not known to be attracted to any male lure. Both sexes can be monitored by traps baited with protein-based attractants (Hou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is stenophagous, only attacking citrus fruits. It is a serious pest of citrus in parts of China (Zhang, 1989) and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known to occur in areas with similar climate. Transient populations could also have negative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on the list of fruit flies that satisfy the criteria to be regarded as a potential Union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inspected for symptoms of infestation and fruit suspected to be infested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does not occur, or from a place of production found free from the pest by regular inspections in the 3 months before harvest. Fruits may also be treated, but specific treatment schedules have mostly not been developed for the Asiatic citrus fruit flies, since citrus has not been much exported from the countries where they occur. However, such trade has recently developed from China to the EPPO region. It is unknown whether schedules for cold treatment developed for other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citrus will be adequate.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980267858672dfdef" w:history="1">
        <w:r>
          <w:rPr>
            <w:rFonts w:ascii="Calibri" w:hAnsi="Calibri" w:eastAsia="Calibri" w:cs="Calibri"/>
            <w:color w:val="0000CC"/>
            <w:sz w:val="22"/>
            <w:szCs w:val="22"/>
            <w:u w:val="single"/>
          </w:rPr>
          <w:t xml:space="preserve">https://www.delta-intkey.com/ffl/www/bac_tsun.htm</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481667858672dfe94" w:history="1">
        <w:r>
          <w:rPr>
            <w:rFonts w:ascii="Calibri" w:hAnsi="Calibri" w:eastAsia="Calibri" w:cs="Calibri"/>
            <w:color w:val="0000CC"/>
            <w:sz w:val="22"/>
            <w:szCs w:val="22"/>
            <w:u w:val="single"/>
          </w:rPr>
          <w:t xml:space="preserve">https://doi.org/10.2903/j.efsa.2020.5931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Hou BH, Ouyang GC, Lu HL, Ma J, Lu YY &amp; Xia Y (2018) First detection of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(Diptera: Tephritidae) in Guangdong Province of China.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Chang CL, Ching AJF &amp; Nakamichi KAA (2019) Host plant records of the Japanese orange fly,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(Miyake) (Diptera: Tephritidae), Version 1.0 March 26, 2019. United States Department of Agriculture, 9pp. Available online at </w:t>
      </w:r>
      <w:hyperlink r:id="rId639367858672e009a"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Narahara M, Tanaka S &amp; Wakamura S (1994) Thermal responses in the citrus fruit fly, </w:t>
      </w:r>
      <w:r>
        <w:rPr>
          <w:rFonts w:ascii="Calibri" w:hAnsi="Calibri" w:eastAsia="Calibri" w:cs="Calibri"/>
          <w:i/>
          <w:iCs/>
          <w:color w:val="000000"/>
          <w:sz w:val="22"/>
          <w:szCs w:val="22"/>
        </w:rPr>
        <w:t xml:space="preserve">Dacus tsuneonis</w:t>
      </w:r>
      <w:r>
        <w:rPr>
          <w:rFonts w:ascii="Calibri" w:hAnsi="Calibri" w:eastAsia="Calibri" w:cs="Calibri"/>
          <w:color w:val="000000"/>
          <w:sz w:val="22"/>
          <w:szCs w:val="22"/>
        </w:rPr>
        <w:t xml:space="preserve">: evidence for a pupal diapause.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257-261.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EPPO datasheets on pests recommended for regulation. Available online. </w:t>
      </w:r>
      <w:hyperlink r:id="rId561667858672e02e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146761" name="name618867858672e062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7867858672e06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078798">
    <w:multiLevelType w:val="hybridMultilevel"/>
    <w:lvl w:ilvl="0" w:tplc="65103993">
      <w:start w:val="1"/>
      <w:numFmt w:val="decimal"/>
      <w:lvlText w:val="%1."/>
      <w:lvlJc w:val="left"/>
      <w:pPr>
        <w:ind w:left="720" w:hanging="360"/>
      </w:pPr>
    </w:lvl>
    <w:lvl w:ilvl="1" w:tplc="65103993" w:tentative="1">
      <w:start w:val="1"/>
      <w:numFmt w:val="lowerLetter"/>
      <w:lvlText w:val="%2."/>
      <w:lvlJc w:val="left"/>
      <w:pPr>
        <w:ind w:left="1440" w:hanging="360"/>
      </w:pPr>
    </w:lvl>
    <w:lvl w:ilvl="2" w:tplc="65103993" w:tentative="1">
      <w:start w:val="1"/>
      <w:numFmt w:val="lowerRoman"/>
      <w:lvlText w:val="%3."/>
      <w:lvlJc w:val="right"/>
      <w:pPr>
        <w:ind w:left="2160" w:hanging="180"/>
      </w:pPr>
    </w:lvl>
    <w:lvl w:ilvl="3" w:tplc="65103993" w:tentative="1">
      <w:start w:val="1"/>
      <w:numFmt w:val="decimal"/>
      <w:lvlText w:val="%4."/>
      <w:lvlJc w:val="left"/>
      <w:pPr>
        <w:ind w:left="2880" w:hanging="360"/>
      </w:pPr>
    </w:lvl>
    <w:lvl w:ilvl="4" w:tplc="65103993" w:tentative="1">
      <w:start w:val="1"/>
      <w:numFmt w:val="lowerLetter"/>
      <w:lvlText w:val="%5."/>
      <w:lvlJc w:val="left"/>
      <w:pPr>
        <w:ind w:left="3600" w:hanging="360"/>
      </w:pPr>
    </w:lvl>
    <w:lvl w:ilvl="5" w:tplc="65103993" w:tentative="1">
      <w:start w:val="1"/>
      <w:numFmt w:val="lowerRoman"/>
      <w:lvlText w:val="%6."/>
      <w:lvlJc w:val="right"/>
      <w:pPr>
        <w:ind w:left="4320" w:hanging="180"/>
      </w:pPr>
    </w:lvl>
    <w:lvl w:ilvl="6" w:tplc="65103993" w:tentative="1">
      <w:start w:val="1"/>
      <w:numFmt w:val="decimal"/>
      <w:lvlText w:val="%7."/>
      <w:lvlJc w:val="left"/>
      <w:pPr>
        <w:ind w:left="5040" w:hanging="360"/>
      </w:pPr>
    </w:lvl>
    <w:lvl w:ilvl="7" w:tplc="65103993" w:tentative="1">
      <w:start w:val="1"/>
      <w:numFmt w:val="lowerLetter"/>
      <w:lvlText w:val="%8."/>
      <w:lvlJc w:val="left"/>
      <w:pPr>
        <w:ind w:left="5760" w:hanging="360"/>
      </w:pPr>
    </w:lvl>
    <w:lvl w:ilvl="8" w:tplc="65103993" w:tentative="1">
      <w:start w:val="1"/>
      <w:numFmt w:val="lowerRoman"/>
      <w:lvlText w:val="%9."/>
      <w:lvlJc w:val="right"/>
      <w:pPr>
        <w:ind w:left="6480" w:hanging="180"/>
      </w:pPr>
    </w:lvl>
  </w:abstractNum>
  <w:abstractNum w:abstractNumId="71078797">
    <w:multiLevelType w:val="hybridMultilevel"/>
    <w:lvl w:ilvl="0" w:tplc="344672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078797">
    <w:abstractNumId w:val="71078797"/>
  </w:num>
  <w:num w:numId="71078798">
    <w:abstractNumId w:val="710787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2004380" Type="http://schemas.microsoft.com/office/2011/relationships/commentsExtended" Target="commentsExtended.xml"/><Relationship Id="rId732365701" Type="http://schemas.microsoft.com/office/2011/relationships/people" Target="people.xml"/><Relationship Id="rId367067858672dde31" Type="http://schemas.openxmlformats.org/officeDocument/2006/relationships/hyperlink" Target="https://gd.eppo.int/taxon/DACUTS/" TargetMode="External"/><Relationship Id="rId905067858672dde9a" Type="http://schemas.openxmlformats.org/officeDocument/2006/relationships/hyperlink" Target="https://gd.eppo.int/taxon/DACUTS/categorization" TargetMode="External"/><Relationship Id="rId491367858672df8e5" Type="http://schemas.openxmlformats.org/officeDocument/2006/relationships/hyperlink" Target="https://www.boldsystems.org/index.php/Taxbrowser_Taxonpage?taxon=tsuneonis&amp;searchTax=Search+Taxonomy" TargetMode="External"/><Relationship Id="rId980267858672dfdef" Type="http://schemas.openxmlformats.org/officeDocument/2006/relationships/hyperlink" Target="https://www.delta-intkey.com/ffl/www/bac_tsun.htm" TargetMode="External"/><Relationship Id="rId481667858672dfe94" Type="http://schemas.openxmlformats.org/officeDocument/2006/relationships/hyperlink" Target="https://doi.org/10.2903/j.efsa.2020.5931" TargetMode="External"/><Relationship Id="rId639367858672e009a" Type="http://schemas.openxmlformats.org/officeDocument/2006/relationships/hyperlink" Target="https://coffhi.cphst.org/" TargetMode="External"/><Relationship Id="rId561667858672e02ea" Type="http://schemas.openxmlformats.org/officeDocument/2006/relationships/hyperlink" Target="https://gd.eppo.int" TargetMode="External"/><Relationship Id="rId697167858672df1c5" Type="http://schemas.openxmlformats.org/officeDocument/2006/relationships/image" Target="media/imgrId697167858672df1c5.jpg"/><Relationship Id="rId497867858672e061e" Type="http://schemas.openxmlformats.org/officeDocument/2006/relationships/image" Target="media/imgrId497867858672e06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