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zonata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zonata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zonatus</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Dasyneura zonata</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Rivellia persicae</w:t>
            </w:r>
            <w:r>
              <w:rPr>
                <w:rFonts w:ascii="Calibri" w:hAnsi="Calibri" w:eastAsia="Calibri" w:cs="Calibri"/>
                <w:color w:val="000000"/>
                <w:position w:val="-3"/>
                <w:sz w:val="22"/>
                <w:szCs w:val="22"/>
              </w:rPr>
              <w:t xml:space="preserve"> Bigot, </w:t>
            </w:r>
            <w:r>
              <w:rPr>
                <w:rFonts w:ascii="Calibri" w:hAnsi="Calibri" w:eastAsia="Calibri" w:cs="Calibri"/>
                <w:i/>
                <w:iCs/>
                <w:color w:val="000000"/>
                <w:position w:val="-3"/>
                <w:sz w:val="22"/>
                <w:szCs w:val="22"/>
              </w:rPr>
              <w:t xml:space="preserve">Strumeta zonata</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fruit fly, peach fruit fly</w:t>
            </w:r>
            <w:hyperlink r:id="rId599267ce736e7042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5267ce736e7049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DACUZO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973789" name="name937767ce736e70b12" descr="1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22.jpg"/>
                          <pic:cNvPicPr/>
                        </pic:nvPicPr>
                        <pic:blipFill>
                          <a:blip r:embed="rId519267ce736e70b10" cstate="print"/>
                          <a:stretch>
                            <a:fillRect/>
                          </a:stretch>
                        </pic:blipFill>
                        <pic:spPr>
                          <a:xfrm>
                            <a:off x="0" y="0"/>
                            <a:ext cx="2160000" cy="1281600"/>
                          </a:xfrm>
                          <a:prstGeom prst="rect">
                            <a:avLst/>
                          </a:prstGeom>
                          <a:ln w="0">
                            <a:noFill/>
                          </a:ln>
                        </pic:spPr>
                      </pic:pic>
                    </a:graphicData>
                  </a:graphic>
                </wp:inline>
              </w:drawing>
            </w:r>
            <w:hyperlink r:id="rId345267ce736e70c5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is a polyphagous species reported from a large range of commercial and wild hosts (Allwood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The range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in Africa, where it was introduced, is much more restricted than in its native area but includes a number of commercially important fruits. The USDA Compendium of Fruit Fly Host Information (CoFFHI) (Culliney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Putranjiva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an Asian species widespread on the Indian subcontinent and into Southeast Asia. It is also widely distributed in the Middle East (Iran, Iraq) and on the Arabian Peninsula. It was introduced to Africa where it is currently limited to Egypt, Libya and Sudan in the northeast of mainland Africa, as well as on the islands of Mauritius and Reunion in the Western Indian Ocean. The occurrence in Israel is in isolated areas.</w:t>
      </w:r>
    </w:p>
    <w:p>
      <w:r>
        <w:drawing>
          <wp:inline distT="0" distB="0" distL="0" distR="0">
            <wp:extent cx="6120000" cy="3067200"/>
            <wp:docPr id="79210685" name="name153667ce736e72111" descr="DACUZ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ZO_distribution_map.jpg"/>
                    <pic:cNvPicPr/>
                  </pic:nvPicPr>
                  <pic:blipFill>
                    <a:blip r:embed="rId401667ce736e721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Mauritius,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India (Andhra Pradesh, Assam, Bihar, Chhattisgarh, Delhi, Goa, Gujarat, Haryana, Himachal Pradesh, Jammu &amp; Kashmir, Karnataka, Kerala, Madhya Pradesh, Maharashtra, Punjab, Tamil Nadu, Telangana, Uttarakhand, Uttar Pradesh, West Bengal), Iran, Iraq, Israel, Laos, Myanmar, Nepal, Oman, Pakistan, Saudi Arabia, Sri Lanka, Thailand, United Arab Emirates, Vietnam,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experiments conducted in La Réunion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can complete its life cycle in about 61 days at 25°C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Females start laying eggs in fruit between 2 and 3 weeks after adult emergence. The maximum number of eggs laid per day by one female is 13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number of eggs laid in a lifetime of a female was calculated to be 303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duration of the larval stages varies from 4 to 30 days at 35°C and 15°C respectively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According to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 immature stages cannot develop at temperatures below 15°C. Once mature the third instar larvae burrow into the soil where they pupate. In areas where winter conditions occur, the winter is passed in the pupal stage according to Rahman et al. (1993). The pupal development takes 8 and 53 days, at 35°C and 15°C respectively (Duyck et al., 2004). Females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can live for up to 18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The 3rd-instar larva has been described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White &amp; Elson-Harris (1992) provide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 states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oval black spots; postpronotal lobes and notopleura yellow; scutum red-brown with pale fuscous patterning posteriorly; medium-width parallel-sided lateral postsutural yellow vittae ending at or just behind intra-alar seta; medial postsutural yellow vitta absent; mesopleural stripe reaching to or almost to anterior notopleural seta dorsally; scutellum yellow (except for basal dark margin); legs with all segments entirely fulvous except apices of femora red-brown and hind tibiae pale fuscous to fuscous; wing with cells bc and c colourless, and entirely devoid of microtrichia; a narrow fuscous costal band confluent with R2+3 and ending at apex of this vein, small oval fuscous spots across apex of R4+5; anal streak absent, at most reduced to a pale tint within cell cup; supernumerary lobe of medium development; abdominal terga III-V red-brown with a ‘T’ pattern consisting of a narrow transverse black band across anterior margin of tergum III (often broken in the central region) and narrow medial longitudinal black band over all three terga (often reduced to a stripe over parts of terga IV and V), narrow anterolateral fuscous corners of terga IV and V, a pair of oval red-brown shining spots on tergum V.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Supernumerary lobe weak; pecten absent from abdominal tergum III. Ovipositor basal segment red-brown, dorsoventrally compressed and tapering posteriorly in dorsal view;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A diagnostic protocol for this species has been published by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however, it should be noted the Barcoding Index Number Systems (BINs) in which this species is represented, also include a few unidentified / possibly misidentified reference sequences. Sequences are available in the </w:t>
      </w:r>
      <w:hyperlink r:id="rId550367ce736e72711"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311067ce736e7275e"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An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includes details on trapping (EPPO, 2010).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The natural dispersal ability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unclear.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report records of up to 40 km of spread by individual flies in experiments with sterile males. This seems to be the maximum and possibly a rare occurrence as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published a review stating that long distance dispersal (50-100 km) for several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is largely based on erroneous citations.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polyphagous, but is particularly a pest of peach, mango and guava. The impact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appears to be variable according to the region and presence or absence of other polyphagous species. In Egypt, losses can be substantial, especially on mangoes, citrus and peaches reaching levels of 20% (Cayol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Saafan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Pakistan and northern parts of India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considered more important than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(Qureshi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1991; Kapoor, 1993) causing major losses in peach, apricot, guava and figs; while in Sri Lanka it does not seem to be an important pest (Tsuruta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Siddiqui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reports damage up to 50% to guava in Pakistan.</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the pest is present, it was reported that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could outcompete other tephritid fruit fly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Singh &amp; Sharma (2016) report on the positive impact of such an integrated pest management (IPM) program (including ploughing, sanitation, bait sprays and male annihilation technique) against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(together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Kinnow Mandarin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in Punjab (India).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 known pest of several commercial fruit crops in the area where it is present. It can be moved in trade with infested fruit. With the isolated occurrences in Israel,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already present in the EPPO region. EFSA analyzed the distribution models published for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and concluded that several southern parts of the EPPO region, around the Mediterranean are climatically suitable for potential establishment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Transient populations could also have impacts on export of host fruit from the EPPO region.  EFSA compiled a pest report to support the ranking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as a priority pest for the EU (Baker et al.,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occurs should be free from soil, or the soil should be treated against puparia. The plants should not carry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official control aiming to monitor, contain and eradicate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are described in the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Gilioli G, Bering C, Candiani D, Gogin A, Kaluski T, Kinkar M, Mosbach-Schulz O, Neri FM, Preti S, Rosace MC, Siligato R, Stancanelli G &amp; Tramontini S (2019).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Pest report to support ranking of EU candidate priority pests. </w:t>
      </w:r>
      <w:r>
        <w:rPr>
          <w:rFonts w:ascii="Calibri" w:hAnsi="Calibri" w:eastAsia="Calibri" w:cs="Calibri"/>
          <w:i/>
          <w:iCs/>
          <w:color w:val="000000"/>
          <w:sz w:val="22"/>
          <w:szCs w:val="22"/>
        </w:rPr>
        <w:t xml:space="preserve">European Food Safety Authority</w:t>
      </w:r>
      <w:r>
        <w:rPr>
          <w:rFonts w:ascii="Calibri" w:hAnsi="Calibri" w:eastAsia="Calibri" w:cs="Calibri"/>
          <w:color w:val="000000"/>
          <w:sz w:val="22"/>
          <w:szCs w:val="22"/>
        </w:rPr>
        <w:t xml:space="preserve">, 39pp.</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173067ce736e72f3a"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Cayol JP, Roessler Y, Weiss M, Bahdousheh M, Omari M, Hamalawi M &amp; Almughayyar A (2002) Fruit fly control and monitoring in the Near East: shared concern in a regional transboundary problem, in: Barnes, B.N. (Ed.), </w:t>
      </w:r>
      <w:r>
        <w:rPr>
          <w:rFonts w:ascii="Calibri" w:hAnsi="Calibri" w:eastAsia="Calibri" w:cs="Calibri"/>
          <w:i/>
          <w:iCs/>
          <w:color w:val="000000"/>
          <w:sz w:val="22"/>
          <w:szCs w:val="22"/>
        </w:rPr>
        <w:t xml:space="preserve">6th International fruit fly symposium</w:t>
      </w:r>
      <w:r>
        <w:rPr>
          <w:rFonts w:ascii="Calibri" w:hAnsi="Calibri" w:eastAsia="Calibri" w:cs="Calibri"/>
          <w:color w:val="000000"/>
          <w:sz w:val="22"/>
          <w:szCs w:val="22"/>
        </w:rPr>
        <w:t xml:space="preserve">. Isteg scientific publications, Stellenbosch, South Africa, pp. 155-171</w:t>
      </w:r>
    </w:p>
    <w:p>
      <w:pPr>
        <w:widowControl w:val="on"/>
        <w:pBdr/>
        <w:spacing w:before="220" w:after="220" w:line="240" w:lineRule="auto"/>
        <w:ind w:left="0" w:right="0"/>
        <w:jc w:val="left"/>
      </w:pPr>
      <w:r>
        <w:rPr>
          <w:rFonts w:ascii="Calibri" w:hAnsi="Calibri" w:eastAsia="Calibri" w:cs="Calibri"/>
          <w:color w:val="000000"/>
          <w:sz w:val="22"/>
          <w:szCs w:val="22"/>
        </w:rPr>
        <w:t xml:space="preserve">Culliney TW, Liquido NJ, McQuate GM, Hanlin MA, Tateno APK, Lee KLK, Birnbaum AL, Ching AJ, Nakamichi KA, Inskeep JR &amp; Marnell SA (2017). A review of recorded host plants of peach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zonata </w:t>
      </w:r>
      <w:r>
        <w:rPr>
          <w:rFonts w:ascii="Calibri" w:hAnsi="Calibri" w:eastAsia="Calibri" w:cs="Calibri"/>
          <w:color w:val="000000"/>
          <w:sz w:val="22"/>
          <w:szCs w:val="22"/>
        </w:rPr>
        <w:t xml:space="preserve">(Saunders) (Diptera: Tephritidae), Version 1.3.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3.0, </w:t>
      </w:r>
      <w:hyperlink r:id="rId810767ce736e73038"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November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of South-East Asia</w:t>
      </w:r>
      <w:r>
        <w:rPr>
          <w:rFonts w:ascii="Calibri" w:hAnsi="Calibri" w:eastAsia="Calibri" w:cs="Calibri"/>
          <w:color w:val="000000"/>
          <w:sz w:val="22"/>
          <w:szCs w:val="22"/>
        </w:rPr>
        <w:t xml:space="preserve">.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Sterlin JF &amp; Quilici S (2004) Survival and development of different life stages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(Diptera: Tephritidae) reared at five constant temperatures compared to other fruit fly species.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David P &amp; Quilici S (2007) Can more K-selected species be better invaders? A case study of fruit flies in La Reunion.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535-543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9/11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390-395. </w:t>
      </w:r>
      <w:hyperlink r:id="rId332167ce736e73206" w:history="1">
        <w:r>
          <w:rPr>
            <w:rFonts w:ascii="Calibri" w:hAnsi="Calibri" w:eastAsia="Calibri" w:cs="Calibri"/>
            <w:color w:val="0000CC"/>
            <w:sz w:val="22"/>
            <w:szCs w:val="22"/>
            <w:u w:val="single"/>
          </w:rPr>
          <w:t xml:space="preserve">https://doi.org/10.1111/j.1365-2338.2010.02421.x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7/114 (1) </w:t>
      </w:r>
      <w:r>
        <w:rPr>
          <w:rFonts w:ascii="Calibri" w:hAnsi="Calibri" w:eastAsia="Calibri" w:cs="Calibri"/>
          <w:i/>
          <w:iCs/>
          <w:color w:val="000000"/>
          <w:sz w:val="22"/>
          <w:szCs w:val="22"/>
        </w:rPr>
        <w:t xml:space="preserve">Bactrocera zonata.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412-416. </w:t>
      </w:r>
      <w:hyperlink r:id="rId268867ce736e7328d" w:history="1">
        <w:r>
          <w:rPr>
            <w:rFonts w:ascii="Calibri" w:hAnsi="Calibri" w:eastAsia="Calibri" w:cs="Calibri"/>
            <w:color w:val="0000CC"/>
            <w:sz w:val="22"/>
            <w:szCs w:val="22"/>
            <w:u w:val="single"/>
          </w:rPr>
          <w:t xml:space="preserve">https://doi.org/10.1111/epp.12058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(USA) </w:t>
      </w:r>
    </w:p>
    <w:p>
      <w:pPr>
        <w:widowControl w:val="on"/>
        <w:pBdr/>
        <w:spacing w:before="220" w:after="220" w:line="240" w:lineRule="auto"/>
        <w:ind w:left="0" w:right="0"/>
        <w:jc w:val="left"/>
      </w:pPr>
      <w:r>
        <w:rPr>
          <w:rFonts w:ascii="Calibri" w:hAnsi="Calibri" w:eastAsia="Calibri" w:cs="Calibri"/>
          <w:color w:val="000000"/>
          <w:sz w:val="22"/>
          <w:szCs w:val="22"/>
        </w:rPr>
        <w:t xml:space="preserve">Kapoor VC (1993) </w:t>
      </w:r>
      <w:r>
        <w:rPr>
          <w:rFonts w:ascii="Calibri" w:hAnsi="Calibri" w:eastAsia="Calibri" w:cs="Calibri"/>
          <w:i/>
          <w:iCs/>
          <w:color w:val="000000"/>
          <w:sz w:val="22"/>
          <w:szCs w:val="22"/>
        </w:rPr>
        <w:t xml:space="preserve">Indian Fruit Flies (Insecta: Diptera: Tephritidae)</w:t>
      </w:r>
      <w:r>
        <w:rPr>
          <w:rFonts w:ascii="Calibri" w:hAnsi="Calibri" w:eastAsia="Calibri" w:cs="Calibri"/>
          <w:color w:val="000000"/>
          <w:sz w:val="22"/>
          <w:szCs w:val="22"/>
        </w:rPr>
        <w:t xml:space="preserve">. International Science Publisher, New York (USA), 228pp.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Ashraf M, Bughio AR &amp; Siddiqui QH (1975) Population fluctuation and dispersal studies of the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zonatus Saunders. International Atomic Energy Agency; Food and Agriculture Organization: Sterility principle for insect control 1974. </w:t>
      </w:r>
      <w:r>
        <w:rPr>
          <w:rFonts w:ascii="Calibri" w:hAnsi="Calibri" w:eastAsia="Calibri" w:cs="Calibri"/>
          <w:i/>
          <w:iCs/>
          <w:color w:val="000000"/>
          <w:sz w:val="22"/>
          <w:szCs w:val="22"/>
        </w:rPr>
        <w:t xml:space="preserve">Proceedings of the Symposium on the sterility principle for insect control, Innsbruck</w:t>
      </w:r>
      <w:r>
        <w:rPr>
          <w:rFonts w:ascii="Calibri" w:hAnsi="Calibri" w:eastAsia="Calibri" w:cs="Calibri"/>
          <w:color w:val="000000"/>
          <w:sz w:val="22"/>
          <w:szCs w:val="22"/>
        </w:rPr>
        <w:t xml:space="preserve">, pp. 201-2016.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Hussain T &amp; Siddiqui QH (1991) Relative preference of mango varieties by </w:t>
      </w:r>
      <w:r>
        <w:rPr>
          <w:rFonts w:ascii="Calibri" w:hAnsi="Calibri" w:eastAsia="Calibri" w:cs="Calibri"/>
          <w:i/>
          <w:iCs/>
          <w:color w:val="000000"/>
          <w:sz w:val="22"/>
          <w:szCs w:val="22"/>
        </w:rPr>
        <w:t xml:space="preserve">Dacus zonatus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85–87.</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 Hussain T, Carey JR &amp; Dowell RV (1993) Effects of temperature on development of </w:t>
      </w: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71-76. </w:t>
      </w:r>
    </w:p>
    <w:p>
      <w:pPr>
        <w:widowControl w:val="on"/>
        <w:pBdr/>
        <w:spacing w:before="220" w:after="220" w:line="240" w:lineRule="auto"/>
        <w:ind w:left="0" w:right="0"/>
        <w:jc w:val="left"/>
      </w:pPr>
      <w:r>
        <w:rPr>
          <w:rFonts w:ascii="Calibri" w:hAnsi="Calibri" w:eastAsia="Calibri" w:cs="Calibri"/>
          <w:color w:val="000000"/>
          <w:sz w:val="22"/>
          <w:szCs w:val="22"/>
        </w:rPr>
        <w:t xml:space="preserve">Rahman O, Rahman S &amp; Agarwal ML (1993) Biology and immature stage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zonatus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Journal of Animal Morphology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45-52. </w:t>
      </w:r>
    </w:p>
    <w:p>
      <w:pPr>
        <w:widowControl w:val="on"/>
        <w:pBdr/>
        <w:spacing w:before="220" w:after="220" w:line="240" w:lineRule="auto"/>
        <w:ind w:left="0" w:right="0"/>
        <w:jc w:val="left"/>
      </w:pPr>
      <w:r>
        <w:rPr>
          <w:rFonts w:ascii="Calibri" w:hAnsi="Calibri" w:eastAsia="Calibri" w:cs="Calibri"/>
          <w:color w:val="000000"/>
          <w:sz w:val="22"/>
          <w:szCs w:val="22"/>
        </w:rPr>
        <w:t xml:space="preserve">Saafan MH, Fod SM &amp; Abdel-Hafez TA (2005) Ecological studies of flies on different hosts at Fayoum Governorate. 3 - Ecological studies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 and Peach fruit fly, </w:t>
      </w:r>
      <w:r>
        <w:rPr>
          <w:rFonts w:ascii="Calibri" w:hAnsi="Calibri" w:eastAsia="Calibri" w:cs="Calibri"/>
          <w:i/>
          <w:iCs/>
          <w:color w:val="000000"/>
          <w:sz w:val="22"/>
          <w:szCs w:val="22"/>
        </w:rPr>
        <w:t xml:space="preserve">Bectrocera zonata</w:t>
      </w:r>
      <w:r>
        <w:rPr>
          <w:rFonts w:ascii="Calibri" w:hAnsi="Calibri" w:eastAsia="Calibri" w:cs="Calibri"/>
          <w:color w:val="000000"/>
          <w:sz w:val="22"/>
          <w:szCs w:val="22"/>
        </w:rPr>
        <w:t xml:space="preserve"> (Saund.) in apricot orchards. </w:t>
      </w:r>
      <w:r>
        <w:rPr>
          <w:rFonts w:ascii="Calibri" w:hAnsi="Calibri" w:eastAsia="Calibri" w:cs="Calibri"/>
          <w:i/>
          <w:iCs/>
          <w:color w:val="000000"/>
          <w:sz w:val="22"/>
          <w:szCs w:val="22"/>
        </w:rPr>
        <w:t xml:space="preserve">Egyptian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1635-1648.</w:t>
      </w:r>
    </w:p>
    <w:p>
      <w:pPr>
        <w:widowControl w:val="on"/>
        <w:pBdr/>
        <w:spacing w:before="220" w:after="220" w:line="240" w:lineRule="auto"/>
        <w:ind w:left="0" w:right="0"/>
        <w:jc w:val="left"/>
      </w:pPr>
      <w:r>
        <w:rPr>
          <w:rFonts w:ascii="Calibri" w:hAnsi="Calibri" w:eastAsia="Calibri" w:cs="Calibri"/>
          <w:color w:val="000000"/>
          <w:sz w:val="22"/>
          <w:szCs w:val="22"/>
        </w:rPr>
        <w:t xml:space="preserve">Siddiqui QH, Ahmad N, Shah Rashdi SMM &amp; Niazi S (2003) Effect of time of the day and trap height on the catches of peach/guava fruit flies,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through Male Annihilation Technique. Asian </w:t>
      </w:r>
      <w:r>
        <w:rPr>
          <w:rFonts w:ascii="Calibri" w:hAnsi="Calibri" w:eastAsia="Calibri" w:cs="Calibri"/>
          <w:i/>
          <w:iCs/>
          <w:color w:val="000000"/>
          <w:sz w:val="22"/>
          <w:szCs w:val="22"/>
        </w:rPr>
        <w:t xml:space="preserve">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 &amp; Sharma D (2016) Integrated pest management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(Hendel) and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on Kinnow mandarin in the Indian Punjab.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172-183.</w:t>
      </w:r>
    </w:p>
    <w:p>
      <w:pPr>
        <w:widowControl w:val="on"/>
        <w:pBdr/>
        <w:spacing w:before="220" w:after="220" w:line="240" w:lineRule="auto"/>
        <w:ind w:left="0" w:right="0"/>
        <w:jc w:val="left"/>
      </w:pPr>
      <w:r>
        <w:rPr>
          <w:rFonts w:ascii="Calibri" w:hAnsi="Calibri" w:eastAsia="Calibri" w:cs="Calibri"/>
          <w:color w:val="000000"/>
          <w:sz w:val="22"/>
          <w:szCs w:val="22"/>
        </w:rPr>
        <w:t xml:space="preserve">Tsuruta K, White IM, Bandara HMJ, Rajapakse H, Sundaraperuma SAH, Kahawatta SBMUC &amp; Rajapakse GBJP (1997) A preliminary notes on the host-plants of fruit flies of the tribe Dacini (Diptera, Tephritidae) in Sri Lanka.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315067ce736e738c1" w:history="1">
        <w:r>
          <w:rPr>
            <w:rFonts w:ascii="Calibri" w:hAnsi="Calibri" w:eastAsia="Calibri" w:cs="Calibri"/>
            <w:color w:val="0000CC"/>
            <w:sz w:val="22"/>
            <w:szCs w:val="22"/>
            <w:u w:val="single"/>
          </w:rPr>
          <w:t xml:space="preserve">https://www.cabi.org/isc/datasheet/17694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EPPO datasheets on pests recommended for regulation. Available online. </w:t>
      </w:r>
      <w:hyperlink r:id="rId434567ce736e739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2005 and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63967ce736e73ad6" w:history="1">
        <w:r>
          <w:rPr>
            <w:rFonts w:ascii="Calibri" w:hAnsi="Calibri" w:eastAsia="Calibri" w:cs="Calibri"/>
            <w:color w:val="0000CC"/>
            <w:sz w:val="22"/>
            <w:szCs w:val="22"/>
            <w:u w:val="single"/>
          </w:rPr>
          <w:t xml:space="preserve">https://doi.org/10.1111/j.1365-2338.1983.tb01715.x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371-373. </w:t>
      </w:r>
      <w:hyperlink r:id="rId222667ce736e73b76" w:history="1">
        <w:r>
          <w:rPr>
            <w:rFonts w:ascii="Calibri" w:hAnsi="Calibri" w:eastAsia="Calibri" w:cs="Calibri"/>
            <w:color w:val="0000CC"/>
            <w:sz w:val="22"/>
            <w:szCs w:val="22"/>
            <w:u w:val="single"/>
          </w:rPr>
          <w:t xml:space="preserve">https://doi.org/10.1111/j.1365-2338.2005.00848.x</w:t>
        </w:r>
      </w:hyperlink>
      <w:r>
        <w:rPr>
          <w:rFonts w:ascii="Calibri" w:hAnsi="Calibri" w:eastAsia="Calibri" w:cs="Calibri"/>
          <w:color w:val="000000"/>
          <w:sz w:val="22"/>
          <w:szCs w:val="22"/>
        </w:rPr>
        <w:t xml:space="preserve"> </w:t>
      </w:r>
    </w:p>
    <w:p>
      <w:r>
        <w:drawing>
          <wp:inline distT="0" distB="0" distL="0" distR="0">
            <wp:extent cx="1800000" cy="604800"/>
            <wp:docPr id="46908024" name="name636167ce736e73b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9267ce736e73b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235309">
    <w:multiLevelType w:val="hybridMultilevel"/>
    <w:lvl w:ilvl="0" w:tplc="81323557">
      <w:start w:val="1"/>
      <w:numFmt w:val="decimal"/>
      <w:lvlText w:val="%1."/>
      <w:lvlJc w:val="left"/>
      <w:pPr>
        <w:ind w:left="720" w:hanging="360"/>
      </w:pPr>
    </w:lvl>
    <w:lvl w:ilvl="1" w:tplc="81323557" w:tentative="1">
      <w:start w:val="1"/>
      <w:numFmt w:val="lowerLetter"/>
      <w:lvlText w:val="%2."/>
      <w:lvlJc w:val="left"/>
      <w:pPr>
        <w:ind w:left="1440" w:hanging="360"/>
      </w:pPr>
    </w:lvl>
    <w:lvl w:ilvl="2" w:tplc="81323557" w:tentative="1">
      <w:start w:val="1"/>
      <w:numFmt w:val="lowerRoman"/>
      <w:lvlText w:val="%3."/>
      <w:lvlJc w:val="right"/>
      <w:pPr>
        <w:ind w:left="2160" w:hanging="180"/>
      </w:pPr>
    </w:lvl>
    <w:lvl w:ilvl="3" w:tplc="81323557" w:tentative="1">
      <w:start w:val="1"/>
      <w:numFmt w:val="decimal"/>
      <w:lvlText w:val="%4."/>
      <w:lvlJc w:val="left"/>
      <w:pPr>
        <w:ind w:left="2880" w:hanging="360"/>
      </w:pPr>
    </w:lvl>
    <w:lvl w:ilvl="4" w:tplc="81323557" w:tentative="1">
      <w:start w:val="1"/>
      <w:numFmt w:val="lowerLetter"/>
      <w:lvlText w:val="%5."/>
      <w:lvlJc w:val="left"/>
      <w:pPr>
        <w:ind w:left="3600" w:hanging="360"/>
      </w:pPr>
    </w:lvl>
    <w:lvl w:ilvl="5" w:tplc="81323557" w:tentative="1">
      <w:start w:val="1"/>
      <w:numFmt w:val="lowerRoman"/>
      <w:lvlText w:val="%6."/>
      <w:lvlJc w:val="right"/>
      <w:pPr>
        <w:ind w:left="4320" w:hanging="180"/>
      </w:pPr>
    </w:lvl>
    <w:lvl w:ilvl="6" w:tplc="81323557" w:tentative="1">
      <w:start w:val="1"/>
      <w:numFmt w:val="decimal"/>
      <w:lvlText w:val="%7."/>
      <w:lvlJc w:val="left"/>
      <w:pPr>
        <w:ind w:left="5040" w:hanging="360"/>
      </w:pPr>
    </w:lvl>
    <w:lvl w:ilvl="7" w:tplc="81323557" w:tentative="1">
      <w:start w:val="1"/>
      <w:numFmt w:val="lowerLetter"/>
      <w:lvlText w:val="%8."/>
      <w:lvlJc w:val="left"/>
      <w:pPr>
        <w:ind w:left="5760" w:hanging="360"/>
      </w:pPr>
    </w:lvl>
    <w:lvl w:ilvl="8" w:tplc="81323557" w:tentative="1">
      <w:start w:val="1"/>
      <w:numFmt w:val="lowerRoman"/>
      <w:lvlText w:val="%9."/>
      <w:lvlJc w:val="right"/>
      <w:pPr>
        <w:ind w:left="6480" w:hanging="180"/>
      </w:pPr>
    </w:lvl>
  </w:abstractNum>
  <w:abstractNum w:abstractNumId="51235308">
    <w:multiLevelType w:val="hybridMultilevel"/>
    <w:lvl w:ilvl="0" w:tplc="239686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235308">
    <w:abstractNumId w:val="51235308"/>
  </w:num>
  <w:num w:numId="51235309">
    <w:abstractNumId w:val="512353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8901476" Type="http://schemas.microsoft.com/office/2011/relationships/commentsExtended" Target="commentsExtended.xml"/><Relationship Id="rId222754147" Type="http://schemas.microsoft.com/office/2011/relationships/people" Target="people.xml"/><Relationship Id="rId599267ce736e7042f" Type="http://schemas.openxmlformats.org/officeDocument/2006/relationships/hyperlink" Target="https://gd.eppo.int/taxon/DACUZO/" TargetMode="External"/><Relationship Id="rId285267ce736e70499" Type="http://schemas.openxmlformats.org/officeDocument/2006/relationships/hyperlink" Target="https://gd.eppo.int/taxon/DACUZO/categorization" TargetMode="External"/><Relationship Id="rId345267ce736e70c59" Type="http://schemas.openxmlformats.org/officeDocument/2006/relationships/hyperlink" Target="https://gd.eppo.int/taxon/DACUZO/photos" TargetMode="External"/><Relationship Id="rId550367ce736e72711" Type="http://schemas.openxmlformats.org/officeDocument/2006/relationships/hyperlink" Target="http://www.boldsystems.org/index.php/Taxbrowser_Taxonpage?taxon=Bactrocera+zonata&amp;searchTax=" TargetMode="External"/><Relationship Id="rId311067ce736e7275e" Type="http://schemas.openxmlformats.org/officeDocument/2006/relationships/hyperlink" Target="https://qbank.eppo.int/arthropods/taxon/DACUZO/" TargetMode="External"/><Relationship Id="rId173067ce736e72f3a" Type="http://schemas.openxmlformats.org/officeDocument/2006/relationships/hyperlink" Target="https://www.delta-intkey.com/ffl/www/bac_zona.htm" TargetMode="External"/><Relationship Id="rId810767ce736e73038" Type="http://schemas.openxmlformats.org/officeDocument/2006/relationships/hyperlink" Target="https://coffhi.cphst.org/" TargetMode="External"/><Relationship Id="rId332167ce736e73206" Type="http://schemas.openxmlformats.org/officeDocument/2006/relationships/hyperlink" Target="https://doi.org/10.1111/j.1365-2338.2010.02421.x" TargetMode="External"/><Relationship Id="rId268867ce736e7328d" Type="http://schemas.openxmlformats.org/officeDocument/2006/relationships/hyperlink" Target="https://doi.org/10.1111/epp.12058" TargetMode="External"/><Relationship Id="rId315067ce736e738c1" Type="http://schemas.openxmlformats.org/officeDocument/2006/relationships/hyperlink" Target="https://www.cabi.org/isc/datasheet/17694" TargetMode="External"/><Relationship Id="rId434567ce736e73974" Type="http://schemas.openxmlformats.org/officeDocument/2006/relationships/hyperlink" Target="https://gd.eppo.int" TargetMode="External"/><Relationship Id="rId763967ce736e73ad6" Type="http://schemas.openxmlformats.org/officeDocument/2006/relationships/hyperlink" Target="https://doi.org/10.1111/j.1365-2338.1983.tb01715.x" TargetMode="External"/><Relationship Id="rId222667ce736e73b76" Type="http://schemas.openxmlformats.org/officeDocument/2006/relationships/hyperlink" Target="https://doi.org/10.1111/j.1365-2338.2005.00848.x" TargetMode="External"/><Relationship Id="rId519267ce736e70b10" Type="http://schemas.openxmlformats.org/officeDocument/2006/relationships/image" Target="media/imgrId519267ce736e70b10.jpg"/><Relationship Id="rId401667ce736e7210e" Type="http://schemas.openxmlformats.org/officeDocument/2006/relationships/image" Target="media/imgrId401667ce736e7210e.jpg"/><Relationship Id="rId459267ce736e73be1" Type="http://schemas.openxmlformats.org/officeDocument/2006/relationships/image" Target="media/imgrId459267ce736e73b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