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Diaporthe vaccinii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2024-04-16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Diaporthe vaccinii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Shear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Diaporthaceae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Phomopsis vaccinii</w:t>
            </w:r>
            <w:r>
              <w:rPr>
                <w:rFonts w:ascii="Calibri" w:hAnsi="Calibri" w:eastAsia="Calibri" w:cs="Calibri"/>
                <w:color w:val="000000"/>
                <w:position w:val="-3"/>
                <w:sz w:val="22"/>
                <w:szCs w:val="22"/>
              </w:rPr>
              <w:t xml:space="preserve"> Shear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blight of blueberry, fruit rot of blueberry, phomopsis canker and dieback of blueberry, storage rot of blueberry, twig blight of blueberry, viscid rot of blueberry</w:t>
            </w:r>
            <w:hyperlink r:id="rId8249665c188cad83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4263665c188cad8a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DIAPVA</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Principal hosts of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are cranberry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oxycoccos</w:t>
      </w:r>
      <w:r>
        <w:rPr>
          <w:rFonts w:ascii="Calibri" w:hAnsi="Calibri" w:eastAsia="Calibri" w:cs="Calibri"/>
          <w:color w:val="000000"/>
          <w:sz w:val="22"/>
          <w:szCs w:val="22"/>
        </w:rPr>
        <w:t xml:space="preserve">) and blueberry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virgatum</w:t>
      </w:r>
      <w:r>
        <w:rPr>
          <w:rFonts w:ascii="Calibri" w:hAnsi="Calibri" w:eastAsia="Calibri" w:cs="Calibri"/>
          <w:color w:val="000000"/>
          <w:sz w:val="22"/>
          <w:szCs w:val="22"/>
        </w:rPr>
        <w:t xml:space="preserve">). All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tested in the past have been found to be susceptible to this pathogen (EFSA Panel, 2017). Wild </w:t>
      </w:r>
      <w:r>
        <w:rPr>
          <w:rFonts w:ascii="Calibri" w:hAnsi="Calibri" w:eastAsia="Calibri" w:cs="Calibri"/>
          <w:i/>
          <w:iCs/>
          <w:color w:val="000000"/>
          <w:sz w:val="22"/>
          <w:szCs w:val="22"/>
        </w:rPr>
        <w:t xml:space="preserve">V. oxycoccos</w:t>
      </w:r>
      <w:r>
        <w:rPr>
          <w:rFonts w:ascii="Calibri" w:hAnsi="Calibri" w:eastAsia="Calibri" w:cs="Calibri"/>
          <w:color w:val="000000"/>
          <w:sz w:val="22"/>
          <w:szCs w:val="22"/>
        </w:rPr>
        <w:t xml:space="preserve"> has been found to be a host (Lombard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other wild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species in the EPPO region could also be affected.</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its host range as a pathogen is limited to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(Narouei-Khandan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Van Bruggen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has been found as an endophyte on other plant species (Macia-Vicente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Yue &amp; Liang,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oxycoccos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virgatum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of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is thought to be North America, where it is reported in all regions growing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in the USA and Canada (Lombard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It is currently present in Chile (spreading from North America), China and Latvia (Guerrero &amp; Godoy, 1989; Lombard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Yue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has also been found in Germany, Lithuania, the Netherlands, Poland, Romania, the United Kingdom, but has since been eradicated (EPPO, 2024). Past reports of this pest in European Russia and Belarus have not been confirmed by molecular methods (EFSA Panel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Galynskaya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Narouei-Khandan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though it was identified molecularly on cranberry seedlings imported into Russia from Belarus (Kuznetsova, 2021).</w:t>
      </w:r>
    </w:p>
    <w:p>
      <w:r>
        <w:drawing>
          <wp:inline distT="0" distB="0" distL="0" distR="0">
            <wp:extent cx="6120000" cy="3067200"/>
            <wp:docPr id="27794471" name="name3375665c188caed7a" descr="DIAPV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VA_distribution_map.jpg"/>
                    <pic:cNvPicPr/>
                  </pic:nvPicPr>
                  <pic:blipFill>
                    <a:blip r:embed="rId5031665c188caed7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Latvia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(Shandong)</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Nova Scotia, Québec), United States of America (Arkansas, Illinois, Indiana, Maine, Maryland, Massachusetts, Michigan, Montana, New Jersey, North Carolina, Oregon, Washington, West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grows well at an optimum pH of 5-6 and a temperature range of 4-32°C (Carlson, 1963; Weingartner &amp; Klos, 1975). In the field, optimal temperatures for disease development have been shown to be between 8°C and 15°C, though disease can occur at average annual temperatures of between 0°C and 25°C (Narouei-Khandan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overwinters on dead vines, the previous year’s infected twigs and possibly other plant debris on the soil surface, such as leaves (Shear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1931; Wilcox, 1939). Overwintering at cool temperatures appears to be necessary for maturation of the sexual spores, ascospores (Shear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1975,1961; Wilcox, 1939).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has also been found as an endophyte in other plant species (Macia-Vicente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Yue &amp; Liang, 2013).</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inoculum (in the form of ascospores and the asexual spores, conidia) are disseminated in the crop under wet or humid conditions. Rain-dispersed conidia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have been found to disperse throughout the growing season, the highest numbers being recorded between blossom budbreak through to bloom (Milholland, 1982; Parker &amp; Ramsdell, 1977), though they only spread over short distances. Rain-splashed conidia are judged to infect new plants within 1-10 m of the original source of infection. Ascospores could typically spread much longer distances by wind, but have rarely been reported for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and are considered to play a negligible role in pest spread (EFSA Panel,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believed to enter plants via the shoot tips, emerging flower buds, or though wounds caused by freezing or abrasion, resulting in systemic infection through the vascular tissue (Daykin &amp; Milholland, 1990; Milholland, 1982; Wilcox, 1939). Pycnidia with conidia appear on stems (see further symptoms below) 2-3 weeks after infection (Wilcox, 1939; Weingartner &amp; Klos, 1975).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also enters berries throughout the growing season at all stages of development (Milholland &amp; Daykin, 1983).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is known to cause several diseases in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including stem canker, twig blight, and fruit rot (Polashock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certain regions, blighting of 1-year-old woody stems with flower buds is the predominant symptom in susceptible blueberry cultivars (Milholland, 1982).</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current-year shoots wilt within 4 days and become covered with minute lesions. Infected leaves develop spots enlarging to 1 cm and produce pycnidia. The fungus continues to travel downward through the stem at a rate averaging 5.5 cm in 2 months, killing major branches and often entire plants (Wilcox, 1939; Daykin &amp; Milholland, 1990). Regardless of age of stems, cankers are long and narrow, and are covered by the bark or epidermis (Weingartner &amp; Klos, 1975). On blueberry stems over 2 years old, below wilt symptoms,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causes a brown discoloration of the stem xylem (Weingartner &amp; Klos, 1975).</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may be dormant in infected material; for example, in one study, it has been identified from 90% of stems from asymptomatic cranberry vines (Friend &amp; Boone, 1968). Symptom development in infected plants for planting can take as long as 8 weeks, and in some cases up to 3 months, to occur (EFSA Panel, 2017) while berries may have a latent infection until maturation (Milholland &amp; Daykin, 1983). Infection of crowns usually results in death of stems originating from the crown (Weingartner &amp; Klos, 1975) and infected fruits turn reddish-brown, soft, often splitting and causing leakage of juice (Milholland &amp; Daykin, 1983).</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similar to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can be associated with other fungi, such as </w:t>
      </w:r>
      <w:r>
        <w:rPr>
          <w:rFonts w:ascii="Calibri" w:hAnsi="Calibri" w:eastAsia="Calibri" w:cs="Calibri"/>
          <w:i/>
          <w:iCs/>
          <w:color w:val="000000"/>
          <w:sz w:val="22"/>
          <w:szCs w:val="22"/>
        </w:rPr>
        <w:t xml:space="preserve">Godronia cassandrae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(Witcher, 1961; Weingartner &amp; Klos,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On the host plant, the fungus develops dark and subcuticular pycnidia (roughly 200 μm x 500 μm). Conidia are of two types, alpha conidia (6.0–10.5 × 2.2–3.2 μm) are hyaline, unicellular, and fusiform whilst beta conidia (15.0–24.0 × 0.8–1.5 μm) are hyaline and filiform, though not used for identification. See EPPO (2009) for more details.</w:t>
      </w:r>
    </w:p>
    <w:p>
      <w:pPr>
        <w:widowControl w:val="on"/>
        <w:pBdr/>
        <w:spacing w:before="220" w:after="220" w:line="240" w:lineRule="auto"/>
        <w:ind w:left="0" w:right="0"/>
        <w:jc w:val="both"/>
      </w:pPr>
      <w:r>
        <w:rPr>
          <w:rFonts w:ascii="Calibri" w:hAnsi="Calibri" w:eastAsia="Calibri" w:cs="Calibri"/>
          <w:color w:val="000000"/>
          <w:sz w:val="22"/>
          <w:szCs w:val="22"/>
        </w:rPr>
        <w:t xml:space="preserve">In culture, mycelium has a radiate growth pattern and is white, after 3 weeks sometimes greyish white in some strains (EPPO, 2009). It has been recently reported that the features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in culture (including the colour or structure of surface mycelium, reverse pigmentation, appearance, location, number or size of pycnidia) vary between isolates and/or different studies (Farr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Polashock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Vilka &amp; Volkova, 2015). Given this morphological variation,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could be confused with related species (Vilka &amp; Volkova, 2015). This emphasises the importance of using additional identification methods.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and identification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have been thoroughly described in EPPO (2009). If symptoms of </w:t>
      </w:r>
      <w:r>
        <w:rPr>
          <w:rFonts w:ascii="Calibri" w:hAnsi="Calibri" w:eastAsia="Calibri" w:cs="Calibri"/>
          <w:i/>
          <w:iCs/>
          <w:color w:val="000000"/>
          <w:sz w:val="22"/>
          <w:szCs w:val="22"/>
        </w:rPr>
        <w:t xml:space="preserve">Diaporthe</w:t>
      </w:r>
      <w:r>
        <w:rPr>
          <w:rFonts w:ascii="Calibri" w:hAnsi="Calibri" w:eastAsia="Calibri" w:cs="Calibri"/>
          <w:color w:val="000000"/>
          <w:sz w:val="22"/>
          <w:szCs w:val="22"/>
        </w:rPr>
        <w:t xml:space="preserve"> species are observed on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a preliminary diagnosis should occur via the removal of spores which are placed under a microscope for examination. In the absence of any fruiting bodies, the infected material should be incubated in damp chambers to induce the production of pycnidia. In both cases, after examination, spores should be transferred to agar for isolation in pure culture.</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(2009) acknowledges the overlap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morphological features with other species and recommends that species identification should be confirmed by internal transcribed space (ITS) amplicon sequencing (EPPO, 2009). Other DNA-based tests have been developed for identifying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(Lombard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Michalecka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Given the tendency for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to be asymptomatic or mis-diagnosed, it has recently been suggested that diagnosticians purely rely on molecular tests, such as real-time PCR, that can process a large number of samples quickly and reliably (Dharmaraj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export of infected blueberry and cranberry plants for planting from North America to other countries has been the main source of infection at new sites (Wilcox &amp; Falconer, 1961; Guerrero &amp; Godoy, 1989). Dormant or minimal signs of infection would reduce the likelihood of plants being intercepted. This pathway remains a significant risk from countries where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is present, though the use of propagation via tissue culture has reduced this risk in recent years. The high volumes of exported blueberry and cranberry fruit from affected countries is another significant pathway for pest movement (EFSA Panel, 2017).</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the pest is much less likely. Spore dispersal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only occurs over short distances, typically within 1-10 m by rain-splashed conidia. Ascospores have rarely been reported and are considered to play a negligible role in pest spread. Finally, although birds can transfer various fungal pathogens over large distances, it is highly uncertain whether this is a pathway for the movement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(EFSA Panel,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commonly established in the USA on cranberries and blueberries (Friend &amp; Boone, 1968; Weingartner &amp; Klos, 1975) and was considered in the late 1940s to be of minor importance (Wilcox, 1939) though it was occasionally responsible for serious losses, such as a reduction of 18-35% of the cranberry crop (Bergman &amp; Wilcox, 1936). From the 1970s onwards,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started to be a major threat to blueberry production in the USA under favourable conditions (Weingartner &amp; Klos, 1975). Twig blight of susceptible blueberry cultivars has been estimated to cause fruit loss of 20-24 blueberries per stem in parts of the USA (Milholland, 1982), or a 25-37% yield loss overall (EFSA Panel, 2017).</w:t>
      </w:r>
    </w:p>
    <w:p>
      <w:pPr>
        <w:widowControl w:val="on"/>
        <w:pBdr/>
        <w:spacing w:before="220" w:after="220" w:line="240" w:lineRule="auto"/>
        <w:ind w:left="0" w:right="0"/>
        <w:jc w:val="both"/>
      </w:pPr>
      <w:r>
        <w:rPr>
          <w:rFonts w:ascii="Calibri" w:hAnsi="Calibri" w:eastAsia="Calibri" w:cs="Calibri"/>
          <w:color w:val="000000"/>
          <w:sz w:val="22"/>
          <w:szCs w:val="22"/>
        </w:rPr>
        <w:t xml:space="preserve">More recently, in Canada, 24% of a cranberry harvest were lost due to fruit rot after 3 weeks of storage.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was identified as the fourth most prevalent pathogen causing this fruit rot (Sabaratnam, Wood, &amp; Nabetani, 2016). There is limited information of the current impact of this pest in the USA (EFSA Panel,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All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tested in the past have been found to be susceptible to this pathogen (EFSA Panel, 2017), although resistance appears to vary between cultivars (Polashock &amp; Kramer, 2006). Recommended cultural controls include pruning out infected canes to reduce inoculum, planting resistant cultivars, and limiting overhead irrigation (Anco &amp; Ellis, 2011; Cline, 2014; Sabaratnam, 2018). Chemical controls are also an option, applied at 2-week intervals from bud break through to bloom. Additional sprays through berry development act against fruit rot (Polashock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has the potential to establish in the EPPO region (Narouei-Khandan, 2017). However, it has been reported in multiple European countries in the past and then been eradicated without causing noticeable damage. The fungus has not apparently persisted in most European locations or spread onto commercial crops and the symptoms caused by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in Europe appeared to be mild (Cardinaals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EFSA Panel, 2014). It has therefore been suggested that this fungus is not a major threat to blueberry production in Europe (Cardinaals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EFSA Pest Risk Assessment for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(2017) identified several risk management measures against this fungus, such as requiring that imported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for planting originate from a pest free area, a pest free place of production or be produced and exported as tissue culture or plug plants directly derive from tissue culture.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Anco DJ &amp; Ellis MA (2011) Phomopsis twig blight of blueberry. </w:t>
      </w:r>
      <w:r>
        <w:rPr>
          <w:rFonts w:ascii="Calibri" w:hAnsi="Calibri" w:eastAsia="Calibri" w:cs="Calibri"/>
          <w:i/>
          <w:iCs/>
          <w:color w:val="000000"/>
          <w:sz w:val="22"/>
          <w:szCs w:val="22"/>
        </w:rPr>
        <w:t xml:space="preserve">Ohio State University Extension</w:t>
      </w:r>
      <w:r>
        <w:rPr>
          <w:rFonts w:ascii="Calibri" w:hAnsi="Calibri" w:eastAsia="Calibri" w:cs="Calibri"/>
          <w:color w:val="000000"/>
          <w:sz w:val="22"/>
          <w:szCs w:val="22"/>
        </w:rPr>
        <w:t xml:space="preserve">. Retrieved from </w:t>
      </w:r>
      <w:hyperlink r:id="rId6227665c188caf9bc" w:history="1">
        <w:r>
          <w:rPr>
            <w:rFonts w:ascii="Calibri" w:hAnsi="Calibri" w:eastAsia="Calibri" w:cs="Calibri"/>
            <w:color w:val="0000CC"/>
            <w:sz w:val="22"/>
            <w:szCs w:val="22"/>
            <w:u w:val="single"/>
          </w:rPr>
          <w:t xml:space="preserve">https://ohioline.osu.edu/factsheet/plpath-fru-45</w:t>
        </w:r>
      </w:hyperlink>
      <w:r>
        <w:rPr>
          <w:rFonts w:ascii="Calibri" w:hAnsi="Calibri" w:eastAsia="Calibri" w:cs="Calibri"/>
          <w:color w:val="000000"/>
          <w:sz w:val="22"/>
          <w:szCs w:val="22"/>
        </w:rPr>
        <w:t xml:space="preserve"> [Accessed 20 March 2024].</w:t>
      </w:r>
    </w:p>
    <w:p>
      <w:pPr>
        <w:widowControl w:val="on"/>
        <w:pBdr/>
        <w:spacing w:before="220" w:after="220" w:line="240" w:lineRule="auto"/>
        <w:ind w:left="0" w:right="0"/>
        <w:jc w:val="left"/>
      </w:pPr>
      <w:r>
        <w:rPr>
          <w:rFonts w:ascii="Calibri" w:hAnsi="Calibri" w:eastAsia="Calibri" w:cs="Calibri"/>
          <w:color w:val="000000"/>
          <w:sz w:val="22"/>
          <w:szCs w:val="22"/>
        </w:rPr>
        <w:t xml:space="preserve">Bergman HF &amp; Wilcox MS (1936) The distribution, cause, and relative importance of cranberry fruit rots in Massachusetts in 1932 and 1933, and their control by spraying.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656-664.</w:t>
      </w:r>
    </w:p>
    <w:p>
      <w:pPr>
        <w:widowControl w:val="on"/>
        <w:pBdr/>
        <w:spacing w:before="220" w:after="220" w:line="240" w:lineRule="auto"/>
        <w:ind w:left="0" w:right="0"/>
        <w:jc w:val="left"/>
      </w:pPr>
      <w:r>
        <w:rPr>
          <w:rFonts w:ascii="Calibri" w:hAnsi="Calibri" w:eastAsia="Calibri" w:cs="Calibri"/>
          <w:color w:val="000000"/>
          <w:sz w:val="22"/>
          <w:szCs w:val="22"/>
        </w:rPr>
        <w:t xml:space="preserve">Cardinaals J, Wenneker M, Voogd J &amp; Van Leeuwen G (2018) Pathogenicity of </w:t>
      </w:r>
      <w:r>
        <w:rPr>
          <w:rFonts w:ascii="Calibri" w:hAnsi="Calibri" w:eastAsia="Calibri" w:cs="Calibri"/>
          <w:i/>
          <w:iCs/>
          <w:color w:val="000000"/>
          <w:sz w:val="22"/>
          <w:szCs w:val="22"/>
        </w:rPr>
        <w:t xml:space="preserve">Diaporthe </w:t>
      </w:r>
      <w:r>
        <w:rPr>
          <w:rFonts w:ascii="Calibri" w:hAnsi="Calibri" w:eastAsia="Calibri" w:cs="Calibri"/>
          <w:color w:val="000000"/>
          <w:sz w:val="22"/>
          <w:szCs w:val="22"/>
        </w:rPr>
        <w:t xml:space="preserve">spp. on two blueberry cultivars</w:t>
      </w:r>
      <w:r>
        <w:rPr>
          <w:rFonts w:ascii="Calibri" w:hAnsi="Calibri" w:eastAsia="Calibri" w:cs="Calibri"/>
          <w:i/>
          <w:iCs/>
          <w:color w:val="000000"/>
          <w:sz w:val="22"/>
          <w:szCs w:val="22"/>
        </w:rPr>
        <w:t xml:space="preserve"> (Vaccinium corymbosum).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128-134.</w:t>
      </w:r>
    </w:p>
    <w:p>
      <w:pPr>
        <w:widowControl w:val="on"/>
        <w:pBdr/>
        <w:spacing w:before="220" w:after="220" w:line="240" w:lineRule="auto"/>
        <w:ind w:left="0" w:right="0"/>
        <w:jc w:val="left"/>
      </w:pPr>
      <w:r>
        <w:rPr>
          <w:rFonts w:ascii="Calibri" w:hAnsi="Calibri" w:eastAsia="Calibri" w:cs="Calibri"/>
          <w:color w:val="000000"/>
          <w:sz w:val="22"/>
          <w:szCs w:val="22"/>
        </w:rPr>
        <w:t xml:space="preserve">Carlson LW (1963) Physiology, pathogenicity, and control of fungi causing cranberry diseases [Abstract]. </w:t>
      </w:r>
      <w:r>
        <w:rPr>
          <w:rFonts w:ascii="Calibri" w:hAnsi="Calibri" w:eastAsia="Calibri" w:cs="Calibri"/>
          <w:i/>
          <w:iCs/>
          <w:color w:val="000000"/>
          <w:sz w:val="22"/>
          <w:szCs w:val="22"/>
        </w:rPr>
        <w:t xml:space="preserve">Dissertation Abstracts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1331.</w:t>
      </w:r>
    </w:p>
    <w:p>
      <w:pPr>
        <w:widowControl w:val="on"/>
        <w:pBdr/>
        <w:spacing w:before="220" w:after="220" w:line="240" w:lineRule="auto"/>
        <w:ind w:left="0" w:right="0"/>
        <w:jc w:val="left"/>
      </w:pPr>
      <w:r>
        <w:rPr>
          <w:rFonts w:ascii="Calibri" w:hAnsi="Calibri" w:eastAsia="Calibri" w:cs="Calibri"/>
          <w:color w:val="000000"/>
          <w:sz w:val="22"/>
          <w:szCs w:val="22"/>
        </w:rPr>
        <w:t xml:space="preserve">Cline B (2014) Twig blight of blueberry. </w:t>
      </w:r>
      <w:r>
        <w:rPr>
          <w:rFonts w:ascii="Calibri" w:hAnsi="Calibri" w:eastAsia="Calibri" w:cs="Calibri"/>
          <w:i/>
          <w:iCs/>
          <w:color w:val="000000"/>
          <w:sz w:val="22"/>
          <w:szCs w:val="22"/>
        </w:rPr>
        <w:t xml:space="preserve">Fruit Disease Information</w:t>
      </w:r>
      <w:r>
        <w:rPr>
          <w:rFonts w:ascii="Calibri" w:hAnsi="Calibri" w:eastAsia="Calibri" w:cs="Calibri"/>
          <w:color w:val="000000"/>
          <w:sz w:val="22"/>
          <w:szCs w:val="22"/>
        </w:rPr>
        <w:t xml:space="preserve">. Retrieved from </w:t>
      </w:r>
      <w:hyperlink r:id="rId2299665c188cafb4c" w:history="1">
        <w:r>
          <w:rPr>
            <w:rFonts w:ascii="Calibri" w:hAnsi="Calibri" w:eastAsia="Calibri" w:cs="Calibri"/>
            <w:color w:val="0000CC"/>
            <w:sz w:val="22"/>
            <w:szCs w:val="22"/>
            <w:u w:val="single"/>
          </w:rPr>
          <w:t xml:space="preserve">https://content.ces.ncsu.edu/twig-blight-of-blueberry</w:t>
        </w:r>
      </w:hyperlink>
      <w:r>
        <w:rPr>
          <w:rFonts w:ascii="Calibri" w:hAnsi="Calibri" w:eastAsia="Calibri" w:cs="Calibri"/>
          <w:color w:val="000000"/>
          <w:sz w:val="22"/>
          <w:szCs w:val="22"/>
        </w:rPr>
        <w:t xml:space="preserve"> [Accessed 20 March 2024]</w:t>
      </w:r>
    </w:p>
    <w:p>
      <w:pPr>
        <w:widowControl w:val="on"/>
        <w:pBdr/>
        <w:spacing w:before="220" w:after="220" w:line="240" w:lineRule="auto"/>
        <w:ind w:left="0" w:right="0"/>
        <w:jc w:val="left"/>
      </w:pPr>
      <w:r>
        <w:rPr>
          <w:rFonts w:ascii="Calibri" w:hAnsi="Calibri" w:eastAsia="Calibri" w:cs="Calibri"/>
          <w:color w:val="000000"/>
          <w:sz w:val="22"/>
          <w:szCs w:val="22"/>
        </w:rPr>
        <w:t xml:space="preserve">Daykin ME &amp; Milholland RD (1990) Histopathology of blueberry twig blight caused by</w:t>
      </w:r>
      <w:r>
        <w:rPr>
          <w:rFonts w:ascii="Calibri" w:hAnsi="Calibri" w:eastAsia="Calibri" w:cs="Calibri"/>
          <w:i/>
          <w:iCs/>
          <w:color w:val="000000"/>
          <w:sz w:val="22"/>
          <w:szCs w:val="22"/>
        </w:rPr>
        <w:t xml:space="preserve"> Phomopsis vaccinii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736-740.</w:t>
      </w:r>
    </w:p>
    <w:p>
      <w:pPr>
        <w:widowControl w:val="on"/>
        <w:pBdr/>
        <w:spacing w:before="220" w:after="220" w:line="240" w:lineRule="auto"/>
        <w:ind w:left="0" w:right="0"/>
        <w:jc w:val="left"/>
      </w:pPr>
      <w:r>
        <w:rPr>
          <w:rFonts w:ascii="Calibri" w:hAnsi="Calibri" w:eastAsia="Calibri" w:cs="Calibri"/>
          <w:color w:val="000000"/>
          <w:sz w:val="22"/>
          <w:szCs w:val="22"/>
        </w:rPr>
        <w:t xml:space="preserve">Dharmaraj K, Michalecka M, Alexander BJ &amp; Toome‐Heller M (2022) New real‐time PCR assay for detecting the blueberry and cranberry twig blight pathogen.</w:t>
      </w:r>
      <w:r>
        <w:rPr>
          <w:rFonts w:ascii="Calibri" w:hAnsi="Calibri" w:eastAsia="Calibri" w:cs="Calibri"/>
          <w:i/>
          <w:iCs/>
          <w:color w:val="000000"/>
          <w:sz w:val="22"/>
          <w:szCs w:val="22"/>
        </w:rPr>
        <w:t xml:space="preserv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170</w:t>
      </w:r>
      <w:r>
        <w:rPr>
          <w:rFonts w:ascii="Calibri" w:hAnsi="Calibri" w:eastAsia="Calibri" w:cs="Calibri"/>
          <w:color w:val="000000"/>
          <w:sz w:val="22"/>
          <w:szCs w:val="22"/>
        </w:rPr>
        <w:t xml:space="preserve">, 683-692.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Diagnostics PM 7/86 (1) </w:t>
      </w:r>
      <w:r>
        <w:rPr>
          <w:rFonts w:ascii="Calibri" w:hAnsi="Calibri" w:eastAsia="Calibri" w:cs="Calibri"/>
          <w:i/>
          <w:iCs/>
          <w:color w:val="000000"/>
          <w:sz w:val="22"/>
          <w:szCs w:val="22"/>
        </w:rPr>
        <w:t xml:space="preserve">Diaporthe vaccinii.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18–24.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Diaporthe vaccinii. EPPO Global Database.</w:t>
      </w:r>
      <w:r>
        <w:rPr>
          <w:rFonts w:ascii="Calibri" w:hAnsi="Calibri" w:eastAsia="Calibri" w:cs="Calibri"/>
          <w:color w:val="000000"/>
          <w:sz w:val="22"/>
          <w:szCs w:val="22"/>
        </w:rPr>
        <w:t xml:space="preserve"> Retrieved from </w:t>
      </w:r>
      <w:hyperlink r:id="rId9177665c188cafcf6" w:history="1">
        <w:r>
          <w:rPr>
            <w:rFonts w:ascii="Calibri" w:hAnsi="Calibri" w:eastAsia="Calibri" w:cs="Calibri"/>
            <w:color w:val="0000CC"/>
            <w:sz w:val="22"/>
            <w:szCs w:val="22"/>
            <w:u w:val="single"/>
          </w:rPr>
          <w:t xml:space="preserve">https://gd.eppo.int/taxon/DIAPVA/distribution</w:t>
        </w:r>
      </w:hyperlink>
      <w:r>
        <w:rPr>
          <w:rFonts w:ascii="Calibri" w:hAnsi="Calibri" w:eastAsia="Calibri" w:cs="Calibri"/>
          <w:color w:val="000000"/>
          <w:sz w:val="22"/>
          <w:szCs w:val="22"/>
        </w:rPr>
        <w:t xml:space="preserve"> [Accessed 2 March 2024].</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Castlebury LA &amp; Rossman AY (2002). Morphological and molecular characterization of</w:t>
      </w:r>
      <w:r>
        <w:rPr>
          <w:rFonts w:ascii="Calibri" w:hAnsi="Calibri" w:eastAsia="Calibri" w:cs="Calibri"/>
          <w:i/>
          <w:iCs/>
          <w:color w:val="000000"/>
          <w:sz w:val="22"/>
          <w:szCs w:val="22"/>
        </w:rPr>
        <w:t xml:space="preserve"> Phomopsis vaccinii </w:t>
      </w:r>
      <w:r>
        <w:rPr>
          <w:rFonts w:ascii="Calibri" w:hAnsi="Calibri" w:eastAsia="Calibri" w:cs="Calibri"/>
          <w:color w:val="000000"/>
          <w:sz w:val="22"/>
          <w:szCs w:val="22"/>
        </w:rPr>
        <w:t xml:space="preserve">and additional isolates of</w:t>
      </w:r>
      <w:r>
        <w:rPr>
          <w:rFonts w:ascii="Calibri" w:hAnsi="Calibri" w:eastAsia="Calibri" w:cs="Calibri"/>
          <w:i/>
          <w:iCs/>
          <w:color w:val="000000"/>
          <w:sz w:val="22"/>
          <w:szCs w:val="22"/>
        </w:rPr>
        <w:t xml:space="preserve"> Phomopsis </w:t>
      </w:r>
      <w:r>
        <w:rPr>
          <w:rFonts w:ascii="Calibri" w:hAnsi="Calibri" w:eastAsia="Calibri" w:cs="Calibri"/>
          <w:color w:val="000000"/>
          <w:sz w:val="22"/>
          <w:szCs w:val="22"/>
        </w:rPr>
        <w:t xml:space="preserve">from blueberry and cranberry in the eastern United States.</w:t>
      </w:r>
      <w:r>
        <w:rPr>
          <w:rFonts w:ascii="Calibri" w:hAnsi="Calibri" w:eastAsia="Calibri" w:cs="Calibri"/>
          <w:i/>
          <w:iCs/>
          <w:color w:val="000000"/>
          <w:sz w:val="22"/>
          <w:szCs w:val="22"/>
        </w:rPr>
        <w:t xml:space="preserve"> Mycologia</w:t>
      </w:r>
      <w:r>
        <w:rPr>
          <w:rFonts w:ascii="Calibri" w:hAnsi="Calibri" w:eastAsia="Calibri" w:cs="Calibri"/>
          <w:b/>
          <w:bCs/>
          <w:color w:val="000000"/>
          <w:sz w:val="22"/>
          <w:szCs w:val="22"/>
        </w:rPr>
        <w:t xml:space="preserve"> 94</w:t>
      </w:r>
      <w:r>
        <w:rPr>
          <w:rFonts w:ascii="Calibri" w:hAnsi="Calibri" w:eastAsia="Calibri" w:cs="Calibri"/>
          <w:color w:val="000000"/>
          <w:sz w:val="22"/>
          <w:szCs w:val="22"/>
        </w:rPr>
        <w:t xml:space="preserve">, 494-504.</w:t>
      </w:r>
    </w:p>
    <w:p>
      <w:pPr>
        <w:widowControl w:val="on"/>
        <w:pBdr/>
        <w:spacing w:before="220" w:after="220" w:line="240" w:lineRule="auto"/>
        <w:ind w:left="0" w:right="0"/>
        <w:jc w:val="left"/>
      </w:pPr>
      <w:r>
        <w:rPr>
          <w:rFonts w:ascii="Calibri" w:hAnsi="Calibri" w:eastAsia="Calibri" w:cs="Calibri"/>
          <w:color w:val="000000"/>
          <w:sz w:val="22"/>
          <w:szCs w:val="22"/>
        </w:rPr>
        <w:t xml:space="preserve">Friend RJ &amp; Boone DM (1968) </w:t>
      </w:r>
      <w:r>
        <w:rPr>
          <w:rFonts w:ascii="Calibri" w:hAnsi="Calibri" w:eastAsia="Calibri" w:cs="Calibri"/>
          <w:i/>
          <w:iCs/>
          <w:color w:val="000000"/>
          <w:sz w:val="22"/>
          <w:szCs w:val="22"/>
        </w:rPr>
        <w:t xml:space="preserve">Diaporthe vaccinii </w:t>
      </w:r>
      <w:r>
        <w:rPr>
          <w:rFonts w:ascii="Calibri" w:hAnsi="Calibri" w:eastAsia="Calibri" w:cs="Calibri"/>
          <w:color w:val="000000"/>
          <w:sz w:val="22"/>
          <w:szCs w:val="22"/>
        </w:rPr>
        <w:t xml:space="preserve">associated with dieback of cranberry in Wisconsin</w:t>
      </w:r>
      <w:r>
        <w:rPr>
          <w:rFonts w:ascii="Calibri" w:hAnsi="Calibri" w:eastAsia="Calibri" w:cs="Calibri"/>
          <w:i/>
          <w:iCs/>
          <w:color w:val="000000"/>
          <w:sz w:val="22"/>
          <w:szCs w:val="22"/>
        </w:rPr>
        <w:t xml:space="preserve">. 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341-344.</w:t>
      </w:r>
    </w:p>
    <w:p>
      <w:pPr>
        <w:widowControl w:val="on"/>
        <w:pBdr/>
        <w:spacing w:before="220" w:after="220" w:line="240" w:lineRule="auto"/>
        <w:ind w:left="0" w:right="0"/>
        <w:jc w:val="left"/>
      </w:pPr>
      <w:r>
        <w:rPr>
          <w:rFonts w:ascii="Calibri" w:hAnsi="Calibri" w:eastAsia="Calibri" w:cs="Calibri"/>
          <w:color w:val="000000"/>
          <w:sz w:val="22"/>
          <w:szCs w:val="22"/>
        </w:rPr>
        <w:t xml:space="preserve">Galynskaya NA, Yarmolovich VA, Morozov OV &amp; Gordey DV (2011) [A complex of pathogenic fungi in young plantings of </w:t>
      </w:r>
      <w:r>
        <w:rPr>
          <w:rFonts w:ascii="Calibri" w:hAnsi="Calibri" w:eastAsia="Calibri" w:cs="Calibri"/>
          <w:i/>
          <w:iCs/>
          <w:color w:val="000000"/>
          <w:sz w:val="22"/>
          <w:szCs w:val="22"/>
        </w:rPr>
        <w:t xml:space="preserve">Vaccinium angustifolium </w:t>
      </w:r>
      <w:r>
        <w:rPr>
          <w:rFonts w:ascii="Calibri" w:hAnsi="Calibri" w:eastAsia="Calibri" w:cs="Calibri"/>
          <w:color w:val="000000"/>
          <w:sz w:val="22"/>
          <w:szCs w:val="22"/>
        </w:rPr>
        <w:t xml:space="preserve">Ait. in the Belarusian Lake District.] </w:t>
      </w:r>
      <w:r>
        <w:rPr>
          <w:rFonts w:ascii="Calibri" w:hAnsi="Calibri" w:eastAsia="Calibri" w:cs="Calibri"/>
          <w:i/>
          <w:iCs/>
          <w:color w:val="000000"/>
          <w:sz w:val="22"/>
          <w:szCs w:val="22"/>
        </w:rPr>
        <w:t xml:space="preserve">Proceedings of BSTU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1</w:t>
      </w:r>
      <w:r>
        <w:rPr>
          <w:rFonts w:ascii="Calibri" w:hAnsi="Calibri" w:eastAsia="Calibri" w:cs="Calibri"/>
          <w:color w:val="000000"/>
          <w:sz w:val="22"/>
          <w:szCs w:val="22"/>
        </w:rPr>
        <w:t xml:space="preserve">, Forestry, 224-228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Guerrero CJ &amp; Godoy A (1989) Detection of </w:t>
      </w:r>
      <w:r>
        <w:rPr>
          <w:rFonts w:ascii="Calibri" w:hAnsi="Calibri" w:eastAsia="Calibri" w:cs="Calibri"/>
          <w:i/>
          <w:iCs/>
          <w:color w:val="000000"/>
          <w:sz w:val="22"/>
          <w:szCs w:val="22"/>
        </w:rPr>
        <w:t xml:space="preserve">Phomopsis vaccinii </w:t>
      </w:r>
      <w:r>
        <w:rPr>
          <w:rFonts w:ascii="Calibri" w:hAnsi="Calibri" w:eastAsia="Calibri" w:cs="Calibri"/>
          <w:color w:val="000000"/>
          <w:sz w:val="22"/>
          <w:szCs w:val="22"/>
        </w:rPr>
        <w:t xml:space="preserve">(Shear, Stevens and Bein) in highbush blueberry</w:t>
      </w:r>
      <w:r>
        <w:rPr>
          <w:rFonts w:ascii="Calibri" w:hAnsi="Calibri" w:eastAsia="Calibri" w:cs="Calibri"/>
          <w:i/>
          <w:iCs/>
          <w:color w:val="000000"/>
          <w:sz w:val="22"/>
          <w:szCs w:val="22"/>
        </w:rPr>
        <w:t xml:space="preserve"> (Vaccinium corymbosum L.)</w:t>
      </w:r>
      <w:r>
        <w:rPr>
          <w:rFonts w:ascii="Calibri" w:hAnsi="Calibri" w:eastAsia="Calibri" w:cs="Calibri"/>
          <w:color w:val="000000"/>
          <w:sz w:val="22"/>
          <w:szCs w:val="22"/>
        </w:rPr>
        <w:t xml:space="preserve"> [Abstract] </w:t>
      </w:r>
      <w:r>
        <w:rPr>
          <w:rFonts w:ascii="Calibri" w:hAnsi="Calibri" w:eastAsia="Calibri" w:cs="Calibri"/>
          <w:i/>
          <w:iCs/>
          <w:color w:val="000000"/>
          <w:sz w:val="22"/>
          <w:szCs w:val="22"/>
        </w:rPr>
        <w:t xml:space="preserve">Agricultura Técnica (Santiago)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220-223.</w:t>
      </w:r>
    </w:p>
    <w:p>
      <w:pPr>
        <w:widowControl w:val="on"/>
        <w:pBdr/>
        <w:spacing w:before="220" w:after="220" w:line="240" w:lineRule="auto"/>
        <w:ind w:left="0" w:right="0"/>
        <w:jc w:val="left"/>
      </w:pPr>
      <w:r>
        <w:rPr>
          <w:rFonts w:ascii="Calibri" w:hAnsi="Calibri" w:eastAsia="Calibri" w:cs="Calibri"/>
          <w:color w:val="000000"/>
          <w:sz w:val="22"/>
          <w:szCs w:val="22"/>
        </w:rPr>
        <w:t xml:space="preserve">Kuznetsova AA, Tsvetkova YV, Kamchenkov AV (2021) Culture morphological features of the pathogen</w:t>
      </w:r>
      <w:r>
        <w:rPr>
          <w:rFonts w:ascii="Calibri" w:hAnsi="Calibri" w:eastAsia="Calibri" w:cs="Calibri"/>
          <w:i/>
          <w:iCs/>
          <w:color w:val="000000"/>
          <w:sz w:val="22"/>
          <w:szCs w:val="22"/>
        </w:rPr>
        <w:t xml:space="preserve"> Diaporthe vaccinii </w:t>
      </w:r>
      <w:r>
        <w:rPr>
          <w:rFonts w:ascii="Calibri" w:hAnsi="Calibri" w:eastAsia="Calibri" w:cs="Calibri"/>
          <w:color w:val="000000"/>
          <w:sz w:val="22"/>
          <w:szCs w:val="22"/>
        </w:rPr>
        <w:t xml:space="preserve">in regulated products – cranberry plants.</w:t>
      </w:r>
      <w:r>
        <w:rPr>
          <w:rFonts w:ascii="Calibri" w:hAnsi="Calibri" w:eastAsia="Calibri" w:cs="Calibri"/>
          <w:i/>
          <w:iCs/>
          <w:color w:val="000000"/>
          <w:sz w:val="22"/>
          <w:szCs w:val="22"/>
        </w:rPr>
        <w:t xml:space="preserve"> Plant Health and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27-36.</w:t>
      </w:r>
    </w:p>
    <w:p>
      <w:pPr>
        <w:widowControl w:val="on"/>
        <w:pBdr/>
        <w:spacing w:before="220" w:after="220" w:line="240" w:lineRule="auto"/>
        <w:ind w:left="0" w:right="0"/>
        <w:jc w:val="left"/>
      </w:pPr>
      <w:r>
        <w:rPr>
          <w:rFonts w:ascii="Calibri" w:hAnsi="Calibri" w:eastAsia="Calibri" w:cs="Calibri"/>
          <w:color w:val="000000"/>
          <w:sz w:val="22"/>
          <w:szCs w:val="22"/>
        </w:rPr>
        <w:t xml:space="preserve">Lombard L, Van Leeuwen G, Guarnaccia V, Polizzi G, Van Rijswick P, Rosendahl K, Gabler J &amp; Crous P (2014) </w:t>
      </w:r>
      <w:r>
        <w:rPr>
          <w:rFonts w:ascii="Calibri" w:hAnsi="Calibri" w:eastAsia="Calibri" w:cs="Calibri"/>
          <w:i/>
          <w:iCs/>
          <w:color w:val="000000"/>
          <w:sz w:val="22"/>
          <w:szCs w:val="22"/>
        </w:rPr>
        <w:t xml:space="preserve">Diaporthe </w:t>
      </w:r>
      <w:r>
        <w:rPr>
          <w:rFonts w:ascii="Calibri" w:hAnsi="Calibri" w:eastAsia="Calibri" w:cs="Calibri"/>
          <w:color w:val="000000"/>
          <w:sz w:val="22"/>
          <w:szCs w:val="22"/>
        </w:rPr>
        <w:t xml:space="preserve">species associated with</w:t>
      </w:r>
      <w:r>
        <w:rPr>
          <w:rFonts w:ascii="Calibri" w:hAnsi="Calibri" w:eastAsia="Calibri" w:cs="Calibri"/>
          <w:i/>
          <w:iCs/>
          <w:color w:val="000000"/>
          <w:sz w:val="22"/>
          <w:szCs w:val="22"/>
        </w:rPr>
        <w:t xml:space="preserve"> Vaccinium, </w:t>
      </w:r>
      <w:r>
        <w:rPr>
          <w:rFonts w:ascii="Calibri" w:hAnsi="Calibri" w:eastAsia="Calibri" w:cs="Calibri"/>
          <w:color w:val="000000"/>
          <w:sz w:val="22"/>
          <w:szCs w:val="22"/>
        </w:rPr>
        <w:t xml:space="preserve">with specific reference to Europe</w:t>
      </w:r>
      <w:r>
        <w:rPr>
          <w:rFonts w:ascii="Calibri" w:hAnsi="Calibri" w:eastAsia="Calibri" w:cs="Calibri"/>
          <w:i/>
          <w:iCs/>
          <w:color w:val="000000"/>
          <w:sz w:val="22"/>
          <w:szCs w:val="22"/>
        </w:rPr>
        <w:t xml:space="preserve">. 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287-299.</w:t>
      </w:r>
    </w:p>
    <w:p>
      <w:pPr>
        <w:widowControl w:val="on"/>
        <w:pBdr/>
        <w:spacing w:before="220" w:after="220" w:line="240" w:lineRule="auto"/>
        <w:ind w:left="0" w:right="0"/>
        <w:jc w:val="left"/>
      </w:pPr>
      <w:r>
        <w:rPr>
          <w:rFonts w:ascii="Calibri" w:hAnsi="Calibri" w:eastAsia="Calibri" w:cs="Calibri"/>
          <w:color w:val="000000"/>
          <w:sz w:val="22"/>
          <w:szCs w:val="22"/>
        </w:rPr>
        <w:t xml:space="preserve">Macia-Vicente JG, Jansson HB, Abdullah SK, Descals E, Salinas J &amp; Lopez-Llorca LV (2007) Fungal root endophytes from natural vegetation in Mediterranean environments with special reference to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FEMS Microbiology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90-105.</w:t>
      </w:r>
    </w:p>
    <w:p>
      <w:pPr>
        <w:widowControl w:val="on"/>
        <w:pBdr/>
        <w:spacing w:before="220" w:after="220" w:line="240" w:lineRule="auto"/>
        <w:ind w:left="0" w:right="0"/>
        <w:jc w:val="left"/>
      </w:pPr>
      <w:r>
        <w:rPr>
          <w:rFonts w:ascii="Calibri" w:hAnsi="Calibri" w:eastAsia="Calibri" w:cs="Calibri"/>
          <w:color w:val="000000"/>
          <w:sz w:val="22"/>
          <w:szCs w:val="22"/>
        </w:rPr>
        <w:t xml:space="preserve">Michalecka M, Bryk H &amp; Seliga P (2017) Identification and characterization of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Shear causing upright dieback and viscid rot of cranberry in Poland.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595-605.</w:t>
      </w:r>
    </w:p>
    <w:p>
      <w:pPr>
        <w:widowControl w:val="on"/>
        <w:pBdr/>
        <w:spacing w:before="220" w:after="220" w:line="240" w:lineRule="auto"/>
        <w:ind w:left="0" w:right="0"/>
        <w:jc w:val="left"/>
      </w:pPr>
      <w:r>
        <w:rPr>
          <w:rFonts w:ascii="Calibri" w:hAnsi="Calibri" w:eastAsia="Calibri" w:cs="Calibri"/>
          <w:color w:val="000000"/>
          <w:sz w:val="22"/>
          <w:szCs w:val="22"/>
        </w:rPr>
        <w:t xml:space="preserve">Milholland RD &amp; Daykin ME (1983) Blueberry fruit rot caused by </w:t>
      </w:r>
      <w:r>
        <w:rPr>
          <w:rFonts w:ascii="Calibri" w:hAnsi="Calibri" w:eastAsia="Calibri" w:cs="Calibri"/>
          <w:i/>
          <w:iCs/>
          <w:color w:val="000000"/>
          <w:sz w:val="22"/>
          <w:szCs w:val="22"/>
        </w:rPr>
        <w:t xml:space="preserve">Phomopsis vaccinii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325-326.</w:t>
      </w:r>
    </w:p>
    <w:p>
      <w:pPr>
        <w:widowControl w:val="on"/>
        <w:pBdr/>
        <w:spacing w:before="220" w:after="220" w:line="240" w:lineRule="auto"/>
        <w:ind w:left="0" w:right="0"/>
        <w:jc w:val="left"/>
      </w:pPr>
      <w:r>
        <w:rPr>
          <w:rFonts w:ascii="Calibri" w:hAnsi="Calibri" w:eastAsia="Calibri" w:cs="Calibri"/>
          <w:color w:val="000000"/>
          <w:sz w:val="22"/>
          <w:szCs w:val="22"/>
        </w:rPr>
        <w:t xml:space="preserve">Milholland RD (1982) Blueberry twig blight caused by </w:t>
      </w:r>
      <w:r>
        <w:rPr>
          <w:rFonts w:ascii="Calibri" w:hAnsi="Calibri" w:eastAsia="Calibri" w:cs="Calibri"/>
          <w:i/>
          <w:iCs/>
          <w:color w:val="000000"/>
          <w:sz w:val="22"/>
          <w:szCs w:val="22"/>
        </w:rPr>
        <w:t xml:space="preserve">Phomopsis vaccinii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1034-1036.</w:t>
      </w:r>
    </w:p>
    <w:p>
      <w:pPr>
        <w:widowControl w:val="on"/>
        <w:pBdr/>
        <w:spacing w:before="220" w:after="220" w:line="240" w:lineRule="auto"/>
        <w:ind w:left="0" w:right="0"/>
        <w:jc w:val="left"/>
      </w:pPr>
      <w:r>
        <w:rPr>
          <w:rFonts w:ascii="Calibri" w:hAnsi="Calibri" w:eastAsia="Calibri" w:cs="Calibri"/>
          <w:color w:val="000000"/>
          <w:sz w:val="22"/>
          <w:szCs w:val="22"/>
        </w:rPr>
        <w:t xml:space="preserve">Narouei-Khandan H, Harmon C, Harmon J P, Olmstead J, Zelenev VV, Van der Werf W, Worner SP, Senay SD &amp; Van Bruggen AHC (2017) Potential global and regional geographic distribution of </w:t>
      </w:r>
      <w:r>
        <w:rPr>
          <w:rFonts w:ascii="Calibri" w:hAnsi="Calibri" w:eastAsia="Calibri" w:cs="Calibri"/>
          <w:i/>
          <w:iCs/>
          <w:color w:val="000000"/>
          <w:sz w:val="22"/>
          <w:szCs w:val="22"/>
        </w:rPr>
        <w:t xml:space="preserve">Phomopsis vaccinii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projected by two species distribution models.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919-930.</w:t>
      </w:r>
    </w:p>
    <w:p>
      <w:pPr>
        <w:widowControl w:val="on"/>
        <w:pBdr/>
        <w:spacing w:before="220" w:after="220" w:line="240" w:lineRule="auto"/>
        <w:ind w:left="0" w:right="0"/>
        <w:jc w:val="left"/>
      </w:pPr>
      <w:r>
        <w:rPr>
          <w:rFonts w:ascii="Calibri" w:hAnsi="Calibri" w:eastAsia="Calibri" w:cs="Calibri"/>
          <w:color w:val="000000"/>
          <w:sz w:val="22"/>
          <w:szCs w:val="22"/>
        </w:rPr>
        <w:t xml:space="preserve">Parker PE &amp; Ramsdell DC (1977) Epidemiology and chemical control of Phomopsis canker of highbush blueberry.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1481-1484.</w:t>
      </w:r>
    </w:p>
    <w:p>
      <w:pPr>
        <w:widowControl w:val="on"/>
        <w:pBdr/>
        <w:spacing w:before="220" w:after="220" w:line="240" w:lineRule="auto"/>
        <w:ind w:left="0" w:right="0"/>
        <w:jc w:val="left"/>
      </w:pPr>
      <w:r>
        <w:rPr>
          <w:rFonts w:ascii="Calibri" w:hAnsi="Calibri" w:eastAsia="Calibri" w:cs="Calibri"/>
          <w:color w:val="000000"/>
          <w:sz w:val="22"/>
          <w:szCs w:val="22"/>
        </w:rPr>
        <w:t xml:space="preserve">Polashock JJ &amp; Kramer M (2006) Resistance of blueberry cultivars to Botryosphaeria stem blight and Phomopsis twig blight.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1457-1461.</w:t>
      </w:r>
    </w:p>
    <w:p>
      <w:pPr>
        <w:widowControl w:val="on"/>
        <w:pBdr/>
        <w:spacing w:before="220" w:after="220" w:line="240" w:lineRule="auto"/>
        <w:ind w:left="0" w:right="0"/>
        <w:jc w:val="left"/>
      </w:pPr>
      <w:r>
        <w:rPr>
          <w:rFonts w:ascii="Calibri" w:hAnsi="Calibri" w:eastAsia="Calibri" w:cs="Calibri"/>
          <w:color w:val="000000"/>
          <w:sz w:val="22"/>
          <w:szCs w:val="22"/>
        </w:rPr>
        <w:t xml:space="preserve">Polashock JJ, Caruso FL, Averill AL &amp; Schilder AC (2017) </w:t>
      </w:r>
      <w:r>
        <w:rPr>
          <w:rFonts w:ascii="Calibri" w:hAnsi="Calibri" w:eastAsia="Calibri" w:cs="Calibri"/>
          <w:i/>
          <w:iCs/>
          <w:color w:val="000000"/>
          <w:sz w:val="22"/>
          <w:szCs w:val="22"/>
        </w:rPr>
        <w:t xml:space="preserve">Compendium of blueberry, cranberry, and lingonberry diseases and pests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The American Phytopathological Society.</w:t>
      </w:r>
    </w:p>
    <w:p>
      <w:pPr>
        <w:widowControl w:val="on"/>
        <w:pBdr/>
        <w:spacing w:before="220" w:after="220" w:line="240" w:lineRule="auto"/>
        <w:ind w:left="0" w:right="0"/>
        <w:jc w:val="left"/>
      </w:pPr>
      <w:r>
        <w:rPr>
          <w:rFonts w:ascii="Calibri" w:hAnsi="Calibri" w:eastAsia="Calibri" w:cs="Calibri"/>
          <w:color w:val="000000"/>
          <w:sz w:val="22"/>
          <w:szCs w:val="22"/>
        </w:rPr>
        <w:t xml:space="preserve">Sabaratnam S (2018) Phomopsis diseases of blueberry. Retrieved from </w:t>
      </w:r>
      <w:hyperlink r:id="rId8730665c188cb0412" w:history="1">
        <w:r>
          <w:rPr>
            <w:rFonts w:ascii="Calibri" w:hAnsi="Calibri" w:eastAsia="Calibri" w:cs="Calibri"/>
            <w:color w:val="0000CC"/>
            <w:sz w:val="22"/>
            <w:szCs w:val="22"/>
            <w:u w:val="single"/>
          </w:rPr>
          <w:t xml:space="preserve">https://www2.gov.bc.ca/assets/gov/farming-natural-resources-and-industry/agriculture-and-seafood/animal-and-crops/plant-health/phomopsis-blueberry.pdf</w:t>
        </w:r>
      </w:hyperlink>
      <w:r>
        <w:rPr>
          <w:rFonts w:ascii="Calibri" w:hAnsi="Calibri" w:eastAsia="Calibri" w:cs="Calibri"/>
          <w:color w:val="000000"/>
          <w:sz w:val="22"/>
          <w:szCs w:val="22"/>
        </w:rPr>
        <w:t xml:space="preserve"> [Accessed 20 March 2024].</w:t>
      </w:r>
    </w:p>
    <w:p>
      <w:pPr>
        <w:widowControl w:val="on"/>
        <w:pBdr/>
        <w:spacing w:before="220" w:after="220" w:line="240" w:lineRule="auto"/>
        <w:ind w:left="0" w:right="0"/>
        <w:jc w:val="left"/>
      </w:pPr>
      <w:r>
        <w:rPr>
          <w:rFonts w:ascii="Calibri" w:hAnsi="Calibri" w:eastAsia="Calibri" w:cs="Calibri"/>
          <w:color w:val="000000"/>
          <w:sz w:val="22"/>
          <w:szCs w:val="22"/>
        </w:rPr>
        <w:t xml:space="preserve">Sabaratnam S, Wood B &amp; Nabetani K (2016) Fruit rot pathogens and their impact on cranberry production in British Columbia [2014 study]. </w:t>
      </w:r>
      <w:r>
        <w:rPr>
          <w:rFonts w:ascii="Calibri" w:hAnsi="Calibri" w:eastAsia="Calibri" w:cs="Calibri"/>
          <w:i/>
          <w:iCs/>
          <w:color w:val="000000"/>
          <w:sz w:val="22"/>
          <w:szCs w:val="22"/>
        </w:rPr>
        <w:t xml:space="preserve">Abbotsford Agriculture Centre, Ministry of Agriculture, Abbotsford, BC, Canada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Shear CL, Stevens NE &amp; Bain HF (1931) Fungus diseases of the cultivated cranberry</w:t>
      </w:r>
      <w:r>
        <w:rPr>
          <w:rFonts w:ascii="Calibri" w:hAnsi="Calibri" w:eastAsia="Calibri" w:cs="Calibri"/>
          <w:i/>
          <w:iCs/>
          <w:color w:val="000000"/>
          <w:sz w:val="22"/>
          <w:szCs w:val="22"/>
        </w:rPr>
        <w:t xml:space="preserve">. Technical Bulletin, </w:t>
      </w:r>
      <w:r>
        <w:rPr>
          <w:rFonts w:ascii="Calibri" w:hAnsi="Calibri" w:eastAsia="Calibri" w:cs="Calibri"/>
          <w:color w:val="000000"/>
          <w:sz w:val="22"/>
          <w:szCs w:val="22"/>
        </w:rPr>
        <w:t xml:space="preserve">United States Department of Agriculture No. </w:t>
      </w:r>
      <w:r>
        <w:rPr>
          <w:rFonts w:ascii="Calibri" w:hAnsi="Calibri" w:eastAsia="Calibri" w:cs="Calibri"/>
          <w:b/>
          <w:bCs/>
          <w:color w:val="000000"/>
          <w:sz w:val="22"/>
          <w:szCs w:val="22"/>
        </w:rPr>
        <w:t xml:space="preserve">258</w:t>
      </w:r>
      <w:r>
        <w:rPr>
          <w:rFonts w:ascii="Calibri" w:hAnsi="Calibri" w:eastAsia="Calibri" w:cs="Calibri"/>
          <w:color w:val="000000"/>
          <w:sz w:val="22"/>
          <w:szCs w:val="22"/>
        </w:rPr>
        <w:t xml:space="preserve">, 7-8.</w:t>
      </w:r>
    </w:p>
    <w:p>
      <w:pPr>
        <w:widowControl w:val="on"/>
        <w:pBdr/>
        <w:spacing w:before="220" w:after="220" w:line="240" w:lineRule="auto"/>
        <w:ind w:left="0" w:right="0"/>
        <w:jc w:val="left"/>
      </w:pPr>
      <w:r>
        <w:rPr>
          <w:rFonts w:ascii="Calibri" w:hAnsi="Calibri" w:eastAsia="Calibri" w:cs="Calibri"/>
          <w:color w:val="000000"/>
          <w:sz w:val="22"/>
          <w:szCs w:val="22"/>
        </w:rPr>
        <w:t xml:space="preserve">Van Bruggen A, West J, Van der Werf W, Potting R, Gardi C, Koufakis I, Zelenev VV., Narouei‐Khandan H, Schilder A &amp; Harmon P (2018) Input data needed for a risk model for the entry, establishment and spread of a pathogen (</w:t>
      </w:r>
      <w:r>
        <w:rPr>
          <w:rFonts w:ascii="Calibri" w:hAnsi="Calibri" w:eastAsia="Calibri" w:cs="Calibri"/>
          <w:i/>
          <w:iCs/>
          <w:color w:val="000000"/>
          <w:sz w:val="22"/>
          <w:szCs w:val="22"/>
        </w:rPr>
        <w:t xml:space="preserve">Phomopsis vaccinii</w:t>
      </w:r>
      <w:r>
        <w:rPr>
          <w:rFonts w:ascii="Calibri" w:hAnsi="Calibri" w:eastAsia="Calibri" w:cs="Calibri"/>
          <w:color w:val="000000"/>
          <w:sz w:val="22"/>
          <w:szCs w:val="22"/>
        </w:rPr>
        <w:t xml:space="preserve">) of blueberries and cranberries in the EU.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126-147.</w:t>
      </w:r>
    </w:p>
    <w:p>
      <w:pPr>
        <w:widowControl w:val="on"/>
        <w:pBdr/>
        <w:spacing w:before="220" w:after="220" w:line="240" w:lineRule="auto"/>
        <w:ind w:left="0" w:right="0"/>
        <w:jc w:val="left"/>
      </w:pPr>
      <w:r>
        <w:rPr>
          <w:rFonts w:ascii="Calibri" w:hAnsi="Calibri" w:eastAsia="Calibri" w:cs="Calibri"/>
          <w:color w:val="000000"/>
          <w:sz w:val="22"/>
          <w:szCs w:val="22"/>
        </w:rPr>
        <w:t xml:space="preserve">Vilka L &amp; Volkova J (2015) Morphological diversity of isolates from cranberry (Ait.) in Latvia. </w:t>
      </w:r>
      <w:r>
        <w:rPr>
          <w:rFonts w:ascii="Calibri" w:hAnsi="Calibri" w:eastAsia="Calibri" w:cs="Calibri"/>
          <w:i/>
          <w:iCs/>
          <w:color w:val="000000"/>
          <w:sz w:val="22"/>
          <w:szCs w:val="22"/>
        </w:rPr>
        <w:t xml:space="preserve">Rural Sustainability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8-18.</w:t>
      </w:r>
    </w:p>
    <w:p>
      <w:pPr>
        <w:widowControl w:val="on"/>
        <w:pBdr/>
        <w:spacing w:before="220" w:after="220" w:line="240" w:lineRule="auto"/>
        <w:ind w:left="0" w:right="0"/>
        <w:jc w:val="left"/>
      </w:pPr>
      <w:r>
        <w:rPr>
          <w:rFonts w:ascii="Calibri" w:hAnsi="Calibri" w:eastAsia="Calibri" w:cs="Calibri"/>
          <w:color w:val="000000"/>
          <w:sz w:val="22"/>
          <w:szCs w:val="22"/>
        </w:rPr>
        <w:t xml:space="preserve">Weingartner DP &amp; Klos EJ (1975) Etiology and symptomatology of canker and dieback diseases on highbush blueberries caused by </w:t>
      </w:r>
      <w:r>
        <w:rPr>
          <w:rFonts w:ascii="Calibri" w:hAnsi="Calibri" w:eastAsia="Calibri" w:cs="Calibri"/>
          <w:i/>
          <w:iCs/>
          <w:color w:val="000000"/>
          <w:sz w:val="22"/>
          <w:szCs w:val="22"/>
        </w:rPr>
        <w:t xml:space="preserve">Godronia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Fusicoccum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cassandrae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Diaporthe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Phomopsis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105-110.</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HJ &amp; Falconer MA (1961) New or uncommon plant pests.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123-124.</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MS (1939) Phomopsis twig blight of blueberry.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136-142.</w:t>
      </w:r>
    </w:p>
    <w:p>
      <w:pPr>
        <w:widowControl w:val="on"/>
        <w:pBdr/>
        <w:spacing w:before="220" w:after="220" w:line="240" w:lineRule="auto"/>
        <w:ind w:left="0" w:right="0"/>
        <w:jc w:val="left"/>
      </w:pPr>
      <w:r>
        <w:rPr>
          <w:rFonts w:ascii="Calibri" w:hAnsi="Calibri" w:eastAsia="Calibri" w:cs="Calibri"/>
          <w:color w:val="000000"/>
          <w:sz w:val="22"/>
          <w:szCs w:val="22"/>
        </w:rPr>
        <w:t xml:space="preserve">Witcher W (1961) Blueberry stem blight caused by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Dissertation Abstracts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23.</w:t>
      </w:r>
    </w:p>
    <w:p>
      <w:pPr>
        <w:widowControl w:val="on"/>
        <w:pBdr/>
        <w:spacing w:before="220" w:after="220" w:line="240" w:lineRule="auto"/>
        <w:ind w:left="0" w:right="0"/>
        <w:jc w:val="left"/>
      </w:pPr>
      <w:r>
        <w:rPr>
          <w:rFonts w:ascii="Calibri" w:hAnsi="Calibri" w:eastAsia="Calibri" w:cs="Calibri"/>
          <w:color w:val="000000"/>
          <w:sz w:val="22"/>
          <w:szCs w:val="22"/>
        </w:rPr>
        <w:t xml:space="preserve">Yue Q &amp; Liang C (2013) </w:t>
      </w:r>
      <w:r>
        <w:rPr>
          <w:rFonts w:ascii="Calibri" w:hAnsi="Calibri" w:eastAsia="Calibri" w:cs="Calibri"/>
          <w:i/>
          <w:iCs/>
          <w:color w:val="000000"/>
          <w:sz w:val="22"/>
          <w:szCs w:val="22"/>
        </w:rPr>
        <w:t xml:space="preserve">Phomopsis vaccinii</w:t>
      </w:r>
      <w:r>
        <w:rPr>
          <w:rFonts w:ascii="Calibri" w:hAnsi="Calibri" w:eastAsia="Calibri" w:cs="Calibri"/>
          <w:color w:val="000000"/>
          <w:sz w:val="22"/>
          <w:szCs w:val="22"/>
        </w:rPr>
        <w:t xml:space="preserve"> isolate 110027 18S ribosomal RNA gene, partial sequence; internal transcribed spacer 1, 5.8S ribosomal RNA gene, and internal transcribed spacer 2, complete sequence; and 28S ribosomal RNA gene, partial sequence. </w:t>
      </w:r>
      <w:r>
        <w:rPr>
          <w:rFonts w:ascii="Calibri" w:hAnsi="Calibri" w:eastAsia="Calibri" w:cs="Calibri"/>
          <w:i/>
          <w:iCs/>
          <w:color w:val="000000"/>
          <w:sz w:val="22"/>
          <w:szCs w:val="22"/>
        </w:rPr>
        <w:t xml:space="preserve">Genbank</w:t>
      </w:r>
      <w:r>
        <w:rPr>
          <w:rFonts w:ascii="Calibri" w:hAnsi="Calibri" w:eastAsia="Calibri" w:cs="Calibri"/>
          <w:color w:val="000000"/>
          <w:sz w:val="22"/>
          <w:szCs w:val="22"/>
        </w:rPr>
        <w:t xml:space="preserve">. Retrieved from </w:t>
      </w:r>
      <w:hyperlink r:id="rId3138665c188cb083c" w:history="1">
        <w:r>
          <w:rPr>
            <w:rFonts w:ascii="Calibri" w:hAnsi="Calibri" w:eastAsia="Calibri" w:cs="Calibri"/>
            <w:color w:val="0000CC"/>
            <w:sz w:val="22"/>
            <w:szCs w:val="22"/>
            <w:u w:val="single"/>
          </w:rPr>
          <w:t xml:space="preserve">https://www.ncbi.nlm.nih.gov/nuccore/KC488259.1</w:t>
        </w:r>
      </w:hyperlink>
      <w:r>
        <w:rPr>
          <w:rFonts w:ascii="Calibri" w:hAnsi="Calibri" w:eastAsia="Calibri" w:cs="Calibri"/>
          <w:color w:val="000000"/>
          <w:sz w:val="22"/>
          <w:szCs w:val="22"/>
        </w:rPr>
        <w:t xml:space="preserve"> [Accessed 3 March 2024].</w:t>
      </w:r>
    </w:p>
    <w:p>
      <w:pPr>
        <w:widowControl w:val="on"/>
        <w:pBdr/>
        <w:spacing w:before="220" w:after="220" w:line="240" w:lineRule="auto"/>
        <w:ind w:left="0" w:right="0"/>
        <w:jc w:val="left"/>
      </w:pPr>
      <w:r>
        <w:rPr>
          <w:rFonts w:ascii="Calibri" w:hAnsi="Calibri" w:eastAsia="Calibri" w:cs="Calibri"/>
          <w:color w:val="000000"/>
          <w:sz w:val="22"/>
          <w:szCs w:val="22"/>
        </w:rPr>
        <w:t xml:space="preserve">Yue Q, Zhao H, Liang C &amp; Li X (2013). The pathogen causing Phomopsis twig blight of blueberry [Abstract]. </w:t>
      </w:r>
      <w:r>
        <w:rPr>
          <w:rFonts w:ascii="Calibri" w:hAnsi="Calibri" w:eastAsia="Calibri" w:cs="Calibri"/>
          <w:i/>
          <w:iCs/>
          <w:color w:val="000000"/>
          <w:sz w:val="22"/>
          <w:szCs w:val="22"/>
        </w:rPr>
        <w:t xml:space="preserve">Mycosystema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959-966.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hyperlink r:id="rId1403665c188cb08f9" w:history="1">
        <w:r>
          <w:rPr>
            <w:rFonts w:ascii="Calibri" w:hAnsi="Calibri" w:eastAsia="Calibri" w:cs="Calibri"/>
            <w:color w:val="0000CC"/>
            <w:sz w:val="22"/>
            <w:szCs w:val="22"/>
            <w:u w:val="single"/>
          </w:rPr>
          <w:t xml:space="preserve">Phomopsis vaccinii (Phomopsis twig blight of blueberry)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Grégoire JC, Jaques Miret JA &amp; MacLeod A (2017) Pest risk assessment of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e04924.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(2014). Scientific Opinion on the pest categorisation of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Shear.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3774.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Suzie Pearce, Department for Environment, Food and Rural Affairs (GB).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EPPO datasheets on pests recommended for regulation. Available online. </w:t>
      </w:r>
      <w:hyperlink r:id="rId4278665c188cb0aa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0254603" name="name3878665c188cb0f8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171665c188cb0f8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140067">
    <w:multiLevelType w:val="hybridMultilevel"/>
    <w:lvl w:ilvl="0" w:tplc="79018736">
      <w:start w:val="1"/>
      <w:numFmt w:val="decimal"/>
      <w:lvlText w:val="%1."/>
      <w:lvlJc w:val="left"/>
      <w:pPr>
        <w:ind w:left="720" w:hanging="360"/>
      </w:pPr>
    </w:lvl>
    <w:lvl w:ilvl="1" w:tplc="79018736" w:tentative="1">
      <w:start w:val="1"/>
      <w:numFmt w:val="lowerLetter"/>
      <w:lvlText w:val="%2."/>
      <w:lvlJc w:val="left"/>
      <w:pPr>
        <w:ind w:left="1440" w:hanging="360"/>
      </w:pPr>
    </w:lvl>
    <w:lvl w:ilvl="2" w:tplc="79018736" w:tentative="1">
      <w:start w:val="1"/>
      <w:numFmt w:val="lowerRoman"/>
      <w:lvlText w:val="%3."/>
      <w:lvlJc w:val="right"/>
      <w:pPr>
        <w:ind w:left="2160" w:hanging="180"/>
      </w:pPr>
    </w:lvl>
    <w:lvl w:ilvl="3" w:tplc="79018736" w:tentative="1">
      <w:start w:val="1"/>
      <w:numFmt w:val="decimal"/>
      <w:lvlText w:val="%4."/>
      <w:lvlJc w:val="left"/>
      <w:pPr>
        <w:ind w:left="2880" w:hanging="360"/>
      </w:pPr>
    </w:lvl>
    <w:lvl w:ilvl="4" w:tplc="79018736" w:tentative="1">
      <w:start w:val="1"/>
      <w:numFmt w:val="lowerLetter"/>
      <w:lvlText w:val="%5."/>
      <w:lvlJc w:val="left"/>
      <w:pPr>
        <w:ind w:left="3600" w:hanging="360"/>
      </w:pPr>
    </w:lvl>
    <w:lvl w:ilvl="5" w:tplc="79018736" w:tentative="1">
      <w:start w:val="1"/>
      <w:numFmt w:val="lowerRoman"/>
      <w:lvlText w:val="%6."/>
      <w:lvlJc w:val="right"/>
      <w:pPr>
        <w:ind w:left="4320" w:hanging="180"/>
      </w:pPr>
    </w:lvl>
    <w:lvl w:ilvl="6" w:tplc="79018736" w:tentative="1">
      <w:start w:val="1"/>
      <w:numFmt w:val="decimal"/>
      <w:lvlText w:val="%7."/>
      <w:lvlJc w:val="left"/>
      <w:pPr>
        <w:ind w:left="5040" w:hanging="360"/>
      </w:pPr>
    </w:lvl>
    <w:lvl w:ilvl="7" w:tplc="79018736" w:tentative="1">
      <w:start w:val="1"/>
      <w:numFmt w:val="lowerLetter"/>
      <w:lvlText w:val="%8."/>
      <w:lvlJc w:val="left"/>
      <w:pPr>
        <w:ind w:left="5760" w:hanging="360"/>
      </w:pPr>
    </w:lvl>
    <w:lvl w:ilvl="8" w:tplc="79018736" w:tentative="1">
      <w:start w:val="1"/>
      <w:numFmt w:val="lowerRoman"/>
      <w:lvlText w:val="%9."/>
      <w:lvlJc w:val="right"/>
      <w:pPr>
        <w:ind w:left="6480" w:hanging="180"/>
      </w:pPr>
    </w:lvl>
  </w:abstractNum>
  <w:abstractNum w:abstractNumId="76140066">
    <w:multiLevelType w:val="hybridMultilevel"/>
    <w:lvl w:ilvl="0" w:tplc="830070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140066">
    <w:abstractNumId w:val="76140066"/>
  </w:num>
  <w:num w:numId="76140067">
    <w:abstractNumId w:val="7614006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5310045" Type="http://schemas.microsoft.com/office/2011/relationships/commentsExtended" Target="commentsExtended.xml"/><Relationship Id="rId709611540" Type="http://schemas.microsoft.com/office/2011/relationships/people" Target="people.xml"/><Relationship Id="rId8249665c188cad83a" Type="http://schemas.openxmlformats.org/officeDocument/2006/relationships/hyperlink" Target="https://gd.eppo.int/taxon/DIAPVA/" TargetMode="External"/><Relationship Id="rId4263665c188cad8a3" Type="http://schemas.openxmlformats.org/officeDocument/2006/relationships/hyperlink" Target="https://gd.eppo.int/taxon/DIAPVA/categorization" TargetMode="External"/><Relationship Id="rId6227665c188caf9bc" Type="http://schemas.openxmlformats.org/officeDocument/2006/relationships/hyperlink" Target="https://ohioline.osu.edu/factsheet/plpath-fru-45" TargetMode="External"/><Relationship Id="rId2299665c188cafb4c" Type="http://schemas.openxmlformats.org/officeDocument/2006/relationships/hyperlink" Target="https://content.ces.ncsu.edu/twig-blight-of-blueberry" TargetMode="External"/><Relationship Id="rId9177665c188cafcf6" Type="http://schemas.openxmlformats.org/officeDocument/2006/relationships/hyperlink" Target="https://gd.eppo.int/taxon/DIAPVA/distribution" TargetMode="External"/><Relationship Id="rId8730665c188cb0412" Type="http://schemas.openxmlformats.org/officeDocument/2006/relationships/hyperlink" Target="https://www2.gov.bc.ca/assets/gov/farming-natural-resources-and-industry/agriculture-and-seafood/animal-and-crops/plant-health/phomopsis-blueberry.pdf" TargetMode="External"/><Relationship Id="rId3138665c188cb083c" Type="http://schemas.openxmlformats.org/officeDocument/2006/relationships/hyperlink" Target="https://www.ncbi.nlm.nih.gov/nuccore/KC488259.1" TargetMode="External"/><Relationship Id="rId1403665c188cb08f9" Type="http://schemas.openxmlformats.org/officeDocument/2006/relationships/hyperlink" Target="https://www.cabidigitallibrary.org/doi/10.1079/cabicompendium.18747" TargetMode="External"/><Relationship Id="rId4278665c188cb0aa3" Type="http://schemas.openxmlformats.org/officeDocument/2006/relationships/hyperlink" Target="https://gd.eppo.int" TargetMode="External"/><Relationship Id="rId5031665c188caed76" Type="http://schemas.openxmlformats.org/officeDocument/2006/relationships/image" Target="media/imgrId5031665c188caed76.jpg"/><Relationship Id="rId4171665c188cb0f8c" Type="http://schemas.openxmlformats.org/officeDocument/2006/relationships/image" Target="media/imgrId4171665c188cb0f8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