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macrospora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macrospora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(Earle)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macrospora var. caulicola</w:t>
            </w:r>
            <w:r>
              <w:rPr>
                <w:rFonts w:ascii="Calibri" w:hAnsi="Calibri" w:eastAsia="Calibri" w:cs="Calibri"/>
                <w:color w:val="000000"/>
                <w:position w:val="-3"/>
                <w:sz w:val="22"/>
                <w:szCs w:val="22"/>
              </w:rPr>
              <w:t xml:space="preserve"> Mariani, </w:t>
            </w:r>
            <w:r>
              <w:rPr>
                <w:rFonts w:ascii="Calibri" w:hAnsi="Calibri" w:eastAsia="Calibri" w:cs="Calibri"/>
                <w:i/>
                <w:iCs/>
                <w:color w:val="000000"/>
                <w:position w:val="-3"/>
                <w:sz w:val="22"/>
                <w:szCs w:val="22"/>
              </w:rPr>
              <w:t xml:space="preserve">Diplodia macrospora</w:t>
            </w:r>
            <w:r>
              <w:rPr>
                <w:rFonts w:ascii="Calibri" w:hAnsi="Calibri" w:eastAsia="Calibri" w:cs="Calibri"/>
                <w:color w:val="000000"/>
                <w:position w:val="-3"/>
                <w:sz w:val="22"/>
                <w:szCs w:val="22"/>
              </w:rPr>
              <w:t xml:space="preserve"> Earle, </w:t>
            </w:r>
            <w:r>
              <w:rPr>
                <w:rFonts w:ascii="Calibri" w:hAnsi="Calibri" w:eastAsia="Calibri" w:cs="Calibri"/>
                <w:i/>
                <w:iCs/>
                <w:color w:val="000000"/>
                <w:position w:val="-3"/>
                <w:sz w:val="22"/>
                <w:szCs w:val="22"/>
              </w:rPr>
              <w:t xml:space="preserve">Diplodia pollacciana</w:t>
            </w:r>
            <w:r>
              <w:rPr>
                <w:rFonts w:ascii="Calibri" w:hAnsi="Calibri" w:eastAsia="Calibri" w:cs="Calibri"/>
                <w:color w:val="000000"/>
                <w:position w:val="-3"/>
                <w:sz w:val="22"/>
                <w:szCs w:val="22"/>
              </w:rPr>
              <w:t xml:space="preserve"> Allescher, </w:t>
            </w:r>
            <w:r>
              <w:rPr>
                <w:rFonts w:ascii="Calibri" w:hAnsi="Calibri" w:eastAsia="Calibri" w:cs="Calibri"/>
                <w:i/>
                <w:iCs/>
                <w:color w:val="000000"/>
                <w:position w:val="-3"/>
                <w:sz w:val="22"/>
                <w:szCs w:val="22"/>
              </w:rPr>
              <w:t xml:space="preserve">Diplodia rusci f. macrospora</w:t>
            </w:r>
            <w:r>
              <w:rPr>
                <w:rFonts w:ascii="Calibri" w:hAnsi="Calibri" w:eastAsia="Calibri" w:cs="Calibri"/>
                <w:color w:val="000000"/>
                <w:position w:val="-3"/>
                <w:sz w:val="22"/>
                <w:szCs w:val="22"/>
              </w:rPr>
              <w:t xml:space="preserve"> Pollacci, </w:t>
            </w:r>
            <w:r>
              <w:rPr>
                <w:rFonts w:ascii="Calibri" w:hAnsi="Calibri" w:eastAsia="Calibri" w:cs="Calibri"/>
                <w:i/>
                <w:iCs/>
                <w:color w:val="000000"/>
                <w:position w:val="-3"/>
                <w:sz w:val="22"/>
                <w:szCs w:val="22"/>
              </w:rPr>
              <w:t xml:space="preserve">Diplodia rusci var. macrospora</w:t>
            </w:r>
            <w:r>
              <w:rPr>
                <w:rFonts w:ascii="Calibri" w:hAnsi="Calibri" w:eastAsia="Calibri" w:cs="Calibri"/>
                <w:color w:val="000000"/>
                <w:position w:val="-3"/>
                <w:sz w:val="22"/>
                <w:szCs w:val="22"/>
              </w:rPr>
              <w:t xml:space="preserve"> (Pollacci) Saccardo &amp; P. Sydow, </w:t>
            </w:r>
            <w:r>
              <w:rPr>
                <w:rFonts w:ascii="Calibri" w:hAnsi="Calibri" w:eastAsia="Calibri" w:cs="Calibri"/>
                <w:i/>
                <w:iCs/>
                <w:color w:val="000000"/>
                <w:position w:val="-3"/>
                <w:sz w:val="22"/>
                <w:szCs w:val="22"/>
              </w:rPr>
              <w:t xml:space="preserve">Macrodiplodia macrospora</w:t>
            </w:r>
            <w:r>
              <w:rPr>
                <w:rFonts w:ascii="Calibri" w:hAnsi="Calibri" w:eastAsia="Calibri" w:cs="Calibri"/>
                <w:color w:val="000000"/>
                <w:position w:val="-3"/>
                <w:sz w:val="22"/>
                <w:szCs w:val="22"/>
              </w:rPr>
              <w:t xml:space="preserve"> (Earle) von Höhnel, </w:t>
            </w:r>
            <w:r>
              <w:rPr>
                <w:rFonts w:ascii="Calibri" w:hAnsi="Calibri" w:eastAsia="Calibri" w:cs="Calibri"/>
                <w:i/>
                <w:iCs/>
                <w:color w:val="000000"/>
                <w:position w:val="-3"/>
                <w:sz w:val="22"/>
                <w:szCs w:val="22"/>
              </w:rPr>
              <w:t xml:space="preserve">Macrodiplodia zeae var. macrospora</w:t>
            </w:r>
            <w:r>
              <w:rPr>
                <w:rFonts w:ascii="Calibri" w:hAnsi="Calibri" w:eastAsia="Calibri" w:cs="Calibri"/>
                <w:color w:val="000000"/>
                <w:position w:val="-3"/>
                <w:sz w:val="22"/>
                <w:szCs w:val="22"/>
              </w:rPr>
              <w:t xml:space="preserve"> (Earle) Petrák &amp; Sydow, </w:t>
            </w:r>
            <w:r>
              <w:rPr>
                <w:rFonts w:ascii="Calibri" w:hAnsi="Calibri" w:eastAsia="Calibri" w:cs="Calibri"/>
                <w:i/>
                <w:iCs/>
                <w:color w:val="000000"/>
                <w:position w:val="-3"/>
                <w:sz w:val="22"/>
                <w:szCs w:val="22"/>
              </w:rPr>
              <w:t xml:space="preserve">Stenocarpella zeae</w:t>
            </w:r>
            <w:r>
              <w:rPr>
                <w:rFonts w:ascii="Calibri" w:hAnsi="Calibri" w:eastAsia="Calibri" w:cs="Calibri"/>
                <w:color w:val="000000"/>
                <w:position w:val="-3"/>
                <w:sz w:val="22"/>
                <w:szCs w:val="22"/>
              </w:rPr>
              <w:t xml:space="preserve"> Sydow &amp; P. Sydow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dry rot of ears and stalks of maize, dry rot of maize, leaf striping of maize</w:t>
            </w:r>
            <w:hyperlink r:id="rId71706697e55b6e4e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7816697e55b6e52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DIPDMC</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Maize is the only host reported for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is distributed in almost all regions of the world, except the EPPO region. It has previously been reported in the EPPO region but is no longer present. It was reported in Austria, Italy and Romania, but did not establish. In Austria,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was reported once in 1993 in crops grown from old imported seed lots (EPPO, 2023). It can be found in Africa, Asia, the Americas and Oceania.</w:t>
      </w:r>
    </w:p>
    <w:p>
      <w:r>
        <w:drawing>
          <wp:inline distT="0" distB="0" distL="0" distR="0">
            <wp:extent cx="6120000" cy="0"/>
            <wp:docPr id="32773946" name="name31356697e55b6f5f6" descr="DIPD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C_distribution_map.jpg"/>
                    <pic:cNvPicPr/>
                  </pic:nvPicPr>
                  <pic:blipFill>
                    <a:blip r:embed="rId76926697e55b6f5f3"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Cote d'Ivoire, Ethiopia, Ghana, Guinea, Kenya, Malawi, Mozambique, Nigeria, Sierra Leone,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Indonesia (Kalimantan), Malaysia (Sabah), Nepal,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Connecticut, Delaware, Florida, Georgia, Illinois, Kentucky, Louisiana, Maryland, Mississippi, North Carolina, Oklahoma,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Guatemala, Honduras, Jamaica,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Rio Grande do Sul, Santa Catarina, Sao Paulo, Tocantins),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is necrotrophic, exhibiting a parasitic phase in the developing plant and saprophytic phase in crop residue.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overwinters as viable pycnidia and mycelium on maize debris in the soil or on seed. Under warm, moist conditions, spores are extruded from pycnidia in long cirrhi and disseminated by wind and rain and, probably, by insects. 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growth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is induced by an organic substance secreted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and that, in many instances, the former can utilize complex carbohydrates only when a growth factor required is present. Race specialization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start as small light tan to dark brown lesions on leaves. Over time, the lesions may expand into longer lesions running parallel with the leaf. As the lesions elongate, concentric zones are visible in the lesion where the initial symptoms occur (Anderson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Leaf margins surrounding the lesion may appear chlorotic and have a water- soaked appearance (Marasas &amp; Van der Westhuizen, 1979). Over time, lesions may coalesce to form large blighted areas on the leaf.</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subglobosa, dark brown to black, 200-300 µm in diameter, with multicellular walls and a circular protruding papillate ostiole, 30-40 µm in diameter. Conidia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are straight or curved, rarely irregular, 1 (0-3) septate, smooth-walled, pale-brown, with rounded or truncated ends and relatively large, 7.5-11.5 x 44-82 µm (ANSES, 2018;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mouldy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 malt agar and incubated at 20 °C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than conventional methods of diagnosis. Barros et al. (2014) and Pinto et al.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movement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will most probably occur through the movement of infected maize seed for planting and intended for animal feed.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may also be a contaminant other substrates (e.g. straw, used machinery and equipment). It therefore seems likely that these may also be pathways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Stalk and grain rots are universally important and among the most destructive diseases of maize throughout the world. In most cases, rots are caused by a complex of several species of fungi and bacteria, rather than by a single species. Therefore, it is difficult to assess the loss due to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alone. EPPO (1999) notes that the disease is not economically important except in isolated cases of water-logged crops. Yield of maize was reduced only when necrotic lesions in the second internode above the ground involved 50% or more of the tissue, and not when lesions were smaller; thus, the maize plant can tolerate a certain level of infection. Losses due to stalk and grain rots vary from season to season and between regions, but may be greater than 50 %. In the USA, 10-20 % yield reductions are common. Losses arise directly from poor grain filling and indirectly from harvest losses because of lodging.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under specific conditions can produce mycotoxins such as Diplodiol (Cutler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since the fungus overwinters as pycnidia and mycelium on corn residues (which can include leaves, stalks, and cobs), and can remain viable for at least one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could have a considerable economic impact in warm, humid regions.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has been intercepted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occurs should come from pest free areas or in a pest-free site of production. For the inspection of consignments of seed,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NR, Bradley CA &amp; Wise KA (2021) Diplodia leaf streak of corn: A diagnostic guide.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159-163.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(2018) Méthode d’analyse en santé des végétaux. Détection de </w:t>
      </w:r>
      <w:r>
        <w:rPr>
          <w:rFonts w:ascii="Calibri" w:hAnsi="Calibri" w:eastAsia="Calibri" w:cs="Calibri"/>
          <w:i/>
          <w:iCs/>
          <w:color w:val="000000"/>
          <w:sz w:val="22"/>
          <w:szCs w:val="22"/>
        </w:rPr>
        <w:t xml:space="preserve">Stenocarpella maydis </w:t>
      </w:r>
      <w:r>
        <w:rPr>
          <w:rFonts w:ascii="Calibri" w:hAnsi="Calibri" w:eastAsia="Calibri" w:cs="Calibri"/>
          <w:color w:val="000000"/>
          <w:sz w:val="22"/>
          <w:szCs w:val="22"/>
        </w:rPr>
        <w:t xml:space="preserve">et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sur semences de maïs par caractérisation morphologique. ANSES/LSV/MA058 Maisons-Alfort (FR) - Version 1 , 20 pp. </w:t>
      </w:r>
      <w:hyperlink r:id="rId38156697e55b83ffa" w:history="1">
        <w:r>
          <w:rPr>
            <w:rFonts w:ascii="Calibri" w:hAnsi="Calibri" w:eastAsia="Calibri" w:cs="Calibri"/>
            <w:color w:val="0000CC"/>
            <w:sz w:val="22"/>
            <w:szCs w:val="22"/>
            <w:u w:val="single"/>
          </w:rPr>
          <w:t xml:space="preserve">https://www.anses.fr/fr/system/files/ANSES_LSV_MA058_V1.pdf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Cutler HG, Crumley FG, Cox RH, Cole RW, Latterell FM &amp; Rossi AE (1980) Diplodiol: A new toxin from Diplodia macrospora. </w:t>
      </w:r>
      <w:r>
        <w:rPr>
          <w:rFonts w:ascii="Calibri" w:hAnsi="Calibri" w:eastAsia="Calibri" w:cs="Calibri"/>
          <w:i/>
          <w:iCs/>
          <w:color w:val="000000"/>
          <w:sz w:val="22"/>
          <w:szCs w:val="22"/>
        </w:rPr>
        <w:t xml:space="preserve">Journal of Agriculture and Food Chemistry</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No. 23,  1-6.</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32906697e55b842d1"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PP 2/17 (1) Guidelines on good plant protection practice. Maize.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w:t>
      </w:r>
      <w:r>
        <w:rPr>
          <w:rFonts w:ascii="Calibri" w:hAnsi="Calibri" w:eastAsia="Calibri" w:cs="Calibri"/>
          <w:i/>
          <w:iCs/>
          <w:color w:val="000000"/>
          <w:sz w:val="22"/>
          <w:szCs w:val="22"/>
        </w:rPr>
        <w:t xml:space="preserve">Bulletin, University of Illinois Agricultural Experiment Station </w:t>
      </w:r>
      <w:r>
        <w:rPr>
          <w:rFonts w:ascii="Calibri" w:hAnsi="Calibri" w:eastAsia="Calibri" w:cs="Calibri"/>
          <w:color w:val="000000"/>
          <w:sz w:val="22"/>
          <w:szCs w:val="22"/>
        </w:rPr>
        <w:t xml:space="preserve">No. 658.</w:t>
      </w:r>
    </w:p>
    <w:p>
      <w:pPr>
        <w:widowControl w:val="on"/>
        <w:pBdr/>
        <w:spacing w:before="220" w:after="220" w:line="240" w:lineRule="auto"/>
        <w:ind w:left="0" w:right="0"/>
        <w:jc w:val="left"/>
      </w:pPr>
      <w:r>
        <w:rPr>
          <w:rFonts w:ascii="Calibri" w:hAnsi="Calibri" w:eastAsia="Calibri" w:cs="Calibri"/>
          <w:color w:val="000000"/>
          <w:sz w:val="22"/>
          <w:szCs w:val="22"/>
        </w:rPr>
        <w:t xml:space="preserve">Marasas WFO &amp; Van der Westhuizen GCA (1979)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The cause of a leaf blight and cob rot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61-64.</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Medeiros HN, da Silva DD, Neto HS, Pozza EA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Stenocarpella maydis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Felipe A. M. Ferreira Pinto, Epagri Santa Catarina- Brasil .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EPPO datasheets on pests recommended for regulation. Available online. </w:t>
      </w:r>
      <w:hyperlink r:id="rId50276697e55b8472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Earle </w:t>
      </w:r>
      <w:r>
        <w:rPr>
          <w:rFonts w:ascii="Calibri" w:hAnsi="Calibri" w:eastAsia="Calibri" w:cs="Calibri"/>
          <w:i/>
          <w:iCs/>
          <w:color w:val="000000"/>
          <w:sz w:val="22"/>
          <w:szCs w:val="22"/>
        </w:rPr>
        <w:t xml:space="preserve">&amp; 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92296697e55b84894" w:history="1">
        <w:r>
          <w:rPr>
            <w:rFonts w:ascii="Calibri" w:hAnsi="Calibri" w:eastAsia="Calibri" w:cs="Calibri"/>
            <w:color w:val="0000CC"/>
            <w:sz w:val="22"/>
            <w:szCs w:val="22"/>
            <w:u w:val="single"/>
          </w:rPr>
          <w:t xml:space="preserve">https://onlinelibrary.wiley.com/doi/epdf/10.1111/j.1365-2338.1982.tb01955.x</w:t>
        </w:r>
      </w:hyperlink>
    </w:p>
    <w:p/>
    <w:p>
      <w:r>
        <w:drawing>
          <wp:inline distT="0" distB="0" distL="0" distR="0">
            <wp:extent cx="0" cy="0"/>
            <wp:docPr id="27409299" name="name40156697e55b8491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056697e55b8491a"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12070">
    <w:multiLevelType w:val="hybridMultilevel"/>
    <w:lvl w:ilvl="0" w:tplc="74672225">
      <w:start w:val="1"/>
      <w:numFmt w:val="decimal"/>
      <w:lvlText w:val="%1."/>
      <w:lvlJc w:val="left"/>
      <w:pPr>
        <w:ind w:left="720" w:hanging="360"/>
      </w:pPr>
    </w:lvl>
    <w:lvl w:ilvl="1" w:tplc="74672225" w:tentative="1">
      <w:start w:val="1"/>
      <w:numFmt w:val="lowerLetter"/>
      <w:lvlText w:val="%2."/>
      <w:lvlJc w:val="left"/>
      <w:pPr>
        <w:ind w:left="1440" w:hanging="360"/>
      </w:pPr>
    </w:lvl>
    <w:lvl w:ilvl="2" w:tplc="74672225" w:tentative="1">
      <w:start w:val="1"/>
      <w:numFmt w:val="lowerRoman"/>
      <w:lvlText w:val="%3."/>
      <w:lvlJc w:val="right"/>
      <w:pPr>
        <w:ind w:left="2160" w:hanging="180"/>
      </w:pPr>
    </w:lvl>
    <w:lvl w:ilvl="3" w:tplc="74672225" w:tentative="1">
      <w:start w:val="1"/>
      <w:numFmt w:val="decimal"/>
      <w:lvlText w:val="%4."/>
      <w:lvlJc w:val="left"/>
      <w:pPr>
        <w:ind w:left="2880" w:hanging="360"/>
      </w:pPr>
    </w:lvl>
    <w:lvl w:ilvl="4" w:tplc="74672225" w:tentative="1">
      <w:start w:val="1"/>
      <w:numFmt w:val="lowerLetter"/>
      <w:lvlText w:val="%5."/>
      <w:lvlJc w:val="left"/>
      <w:pPr>
        <w:ind w:left="3600" w:hanging="360"/>
      </w:pPr>
    </w:lvl>
    <w:lvl w:ilvl="5" w:tplc="74672225" w:tentative="1">
      <w:start w:val="1"/>
      <w:numFmt w:val="lowerRoman"/>
      <w:lvlText w:val="%6."/>
      <w:lvlJc w:val="right"/>
      <w:pPr>
        <w:ind w:left="4320" w:hanging="180"/>
      </w:pPr>
    </w:lvl>
    <w:lvl w:ilvl="6" w:tplc="74672225" w:tentative="1">
      <w:start w:val="1"/>
      <w:numFmt w:val="decimal"/>
      <w:lvlText w:val="%7."/>
      <w:lvlJc w:val="left"/>
      <w:pPr>
        <w:ind w:left="5040" w:hanging="360"/>
      </w:pPr>
    </w:lvl>
    <w:lvl w:ilvl="7" w:tplc="74672225" w:tentative="1">
      <w:start w:val="1"/>
      <w:numFmt w:val="lowerLetter"/>
      <w:lvlText w:val="%8."/>
      <w:lvlJc w:val="left"/>
      <w:pPr>
        <w:ind w:left="5760" w:hanging="360"/>
      </w:pPr>
    </w:lvl>
    <w:lvl w:ilvl="8" w:tplc="74672225" w:tentative="1">
      <w:start w:val="1"/>
      <w:numFmt w:val="lowerRoman"/>
      <w:lvlText w:val="%9."/>
      <w:lvlJc w:val="right"/>
      <w:pPr>
        <w:ind w:left="6480" w:hanging="180"/>
      </w:pPr>
    </w:lvl>
  </w:abstractNum>
  <w:abstractNum w:abstractNumId="65812069">
    <w:multiLevelType w:val="hybridMultilevel"/>
    <w:lvl w:ilvl="0" w:tplc="82282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12069">
    <w:abstractNumId w:val="65812069"/>
  </w:num>
  <w:num w:numId="65812070">
    <w:abstractNumId w:val="658120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8392538" Type="http://schemas.microsoft.com/office/2011/relationships/commentsExtended" Target="commentsExtended.xml"/><Relationship Id="rId332936479" Type="http://schemas.microsoft.com/office/2011/relationships/people" Target="people.xml"/><Relationship Id="rId71706697e55b6e4e8" Type="http://schemas.openxmlformats.org/officeDocument/2006/relationships/hyperlink" Target="https://gd.eppo.int/taxon/DIPDMC/" TargetMode="External"/><Relationship Id="rId47816697e55b6e52f" Type="http://schemas.openxmlformats.org/officeDocument/2006/relationships/hyperlink" Target="https://gd.eppo.int/taxon/DIPDMC/categorization" TargetMode="External"/><Relationship Id="rId38156697e55b83ffa" Type="http://schemas.openxmlformats.org/officeDocument/2006/relationships/hyperlink" Target="https://www.anses.fr/fr/system/files/ANSES_LSV_MA058_V1.pdf" TargetMode="External"/><Relationship Id="rId32906697e55b842d1" Type="http://schemas.openxmlformats.org/officeDocument/2006/relationships/hyperlink" Target="https://gd.eppo.int/" TargetMode="External"/><Relationship Id="rId50276697e55b84729" Type="http://schemas.openxmlformats.org/officeDocument/2006/relationships/hyperlink" Target="https://gd.eppo.int" TargetMode="External"/><Relationship Id="rId92296697e55b84894" Type="http://schemas.openxmlformats.org/officeDocument/2006/relationships/hyperlink" Target="https://onlinelibrary.wiley.com/doi/epdf/10.1111/j.1365-2338.1982.tb01955.x" TargetMode="External"/><Relationship Id="rId76926697e55b6f5f3" Type="http://schemas.openxmlformats.org/officeDocument/2006/relationships/image" Target="media/imgrId76926697e55b6f5f3.jpg"/><Relationship Id="rId39056697e55b8491a" Type="http://schemas.openxmlformats.org/officeDocument/2006/relationships/image" Target="media/imgrId39056697e55b8491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