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Ditylenchus dipsaci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Ditylenchus dipsaci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(Kuehn) Filipjev</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Anguinidae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Anguillulina dipsaci</w:t>
            </w:r>
            <w:r>
              <w:rPr>
                <w:rFonts w:ascii="Calibri" w:hAnsi="Calibri" w:eastAsia="Calibri" w:cs="Calibri"/>
                <w:color w:val="000000"/>
                <w:position w:val="-3"/>
                <w:sz w:val="22"/>
                <w:szCs w:val="22"/>
              </w:rPr>
              <w:t xml:space="preserve"> Kuehn, </w:t>
            </w:r>
            <w:r>
              <w:rPr>
                <w:rFonts w:ascii="Calibri" w:hAnsi="Calibri" w:eastAsia="Calibri" w:cs="Calibri"/>
                <w:i/>
                <w:iCs/>
                <w:color w:val="000000"/>
                <w:position w:val="-3"/>
                <w:sz w:val="22"/>
                <w:szCs w:val="22"/>
              </w:rPr>
              <w:t xml:space="preserve">Ditylenchus allii</w:t>
            </w:r>
            <w:r>
              <w:rPr>
                <w:rFonts w:ascii="Calibri" w:hAnsi="Calibri" w:eastAsia="Calibri" w:cs="Calibri"/>
                <w:color w:val="000000"/>
                <w:position w:val="-3"/>
                <w:sz w:val="22"/>
                <w:szCs w:val="22"/>
              </w:rPr>
              <w:t xml:space="preserve"> (Beijerinck) Tarjan, </w:t>
            </w:r>
            <w:r>
              <w:rPr>
                <w:rFonts w:ascii="Calibri" w:hAnsi="Calibri" w:eastAsia="Calibri" w:cs="Calibri"/>
                <w:i/>
                <w:iCs/>
                <w:color w:val="000000"/>
                <w:position w:val="-3"/>
                <w:sz w:val="22"/>
                <w:szCs w:val="22"/>
              </w:rPr>
              <w:t xml:space="preserve">Ditylenchus fragariae</w:t>
            </w:r>
            <w:r>
              <w:rPr>
                <w:rFonts w:ascii="Calibri" w:hAnsi="Calibri" w:eastAsia="Calibri" w:cs="Calibri"/>
                <w:color w:val="000000"/>
                <w:position w:val="-3"/>
                <w:sz w:val="22"/>
                <w:szCs w:val="22"/>
              </w:rPr>
              <w:t xml:space="preserve"> Kirjanova, </w:t>
            </w:r>
            <w:r>
              <w:rPr>
                <w:rFonts w:ascii="Calibri" w:hAnsi="Calibri" w:eastAsia="Calibri" w:cs="Calibri"/>
                <w:i/>
                <w:iCs/>
                <w:color w:val="000000"/>
                <w:position w:val="-3"/>
                <w:sz w:val="22"/>
                <w:szCs w:val="22"/>
              </w:rPr>
              <w:t xml:space="preserve">Ditylenchus phloxidis</w:t>
            </w:r>
            <w:r>
              <w:rPr>
                <w:rFonts w:ascii="Calibri" w:hAnsi="Calibri" w:eastAsia="Calibri" w:cs="Calibri"/>
                <w:color w:val="000000"/>
                <w:position w:val="-3"/>
                <w:sz w:val="22"/>
                <w:szCs w:val="22"/>
              </w:rPr>
              <w:t xml:space="preserve"> Kirjanova, </w:t>
            </w:r>
            <w:r>
              <w:rPr>
                <w:rFonts w:ascii="Calibri" w:hAnsi="Calibri" w:eastAsia="Calibri" w:cs="Calibri"/>
                <w:i/>
                <w:iCs/>
                <w:color w:val="000000"/>
                <w:position w:val="-3"/>
                <w:sz w:val="22"/>
                <w:szCs w:val="22"/>
              </w:rPr>
              <w:t xml:space="preserve">Tylenchus allii</w:t>
            </w:r>
            <w:r>
              <w:rPr>
                <w:rFonts w:ascii="Calibri" w:hAnsi="Calibri" w:eastAsia="Calibri" w:cs="Calibri"/>
                <w:color w:val="000000"/>
                <w:position w:val="-3"/>
                <w:sz w:val="22"/>
                <w:szCs w:val="22"/>
              </w:rPr>
              <w:t xml:space="preserve"> Beijerinck, </w:t>
            </w:r>
            <w:r>
              <w:rPr>
                <w:rFonts w:ascii="Calibri" w:hAnsi="Calibri" w:eastAsia="Calibri" w:cs="Calibri"/>
                <w:i/>
                <w:iCs/>
                <w:color w:val="000000"/>
                <w:position w:val="-3"/>
                <w:sz w:val="22"/>
                <w:szCs w:val="22"/>
              </w:rPr>
              <w:t xml:space="preserve">Tylenchus devastator</w:t>
            </w:r>
            <w:r>
              <w:rPr>
                <w:rFonts w:ascii="Calibri" w:hAnsi="Calibri" w:eastAsia="Calibri" w:cs="Calibri"/>
                <w:color w:val="000000"/>
                <w:position w:val="-3"/>
                <w:sz w:val="22"/>
                <w:szCs w:val="22"/>
              </w:rPr>
              <w:t xml:space="preserve"> (Kuehn) Oerley, </w:t>
            </w:r>
            <w:r>
              <w:rPr>
                <w:rFonts w:ascii="Calibri" w:hAnsi="Calibri" w:eastAsia="Calibri" w:cs="Calibri"/>
                <w:i/>
                <w:iCs/>
                <w:color w:val="000000"/>
                <w:position w:val="-3"/>
                <w:sz w:val="22"/>
                <w:szCs w:val="22"/>
              </w:rPr>
              <w:t xml:space="preserve">Tylenchus dipsaci</w:t>
            </w:r>
            <w:r>
              <w:rPr>
                <w:rFonts w:ascii="Calibri" w:hAnsi="Calibri" w:eastAsia="Calibri" w:cs="Calibri"/>
                <w:color w:val="000000"/>
                <w:position w:val="-3"/>
                <w:sz w:val="22"/>
                <w:szCs w:val="22"/>
              </w:rPr>
              <w:t xml:space="preserve"> (Kuehn) Bastian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bloat disease of onion, brown ring disease of hyacinth, bulb eelworm, ring disease of bulbs, stem and bulb eelworm, stem and bulb nematode, stem nematode</w:t>
            </w:r>
            <w:hyperlink r:id="rId57436803be9d3eb6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71986803be9d3ebc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DITYDI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1229407" name="name33006803be9d3f449" descr="17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629.jpg"/>
                          <pic:cNvPicPr/>
                        </pic:nvPicPr>
                        <pic:blipFill>
                          <a:blip r:embed="rId82096803be9d3f446" cstate="print"/>
                          <a:stretch>
                            <a:fillRect/>
                          </a:stretch>
                        </pic:blipFill>
                        <pic:spPr>
                          <a:xfrm>
                            <a:off x="0" y="0"/>
                            <a:ext cx="2160000" cy="1281600"/>
                          </a:xfrm>
                          <a:prstGeom prst="rect">
                            <a:avLst/>
                          </a:prstGeom>
                          <a:ln w="0">
                            <a:noFill/>
                          </a:ln>
                        </pic:spPr>
                      </pic:pic>
                    </a:graphicData>
                  </a:graphic>
                </wp:inline>
              </w:drawing>
            </w:r>
            <w:hyperlink r:id="rId36366803be9d3f5d1"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is known to infect over 500 different plant species, including many weeds. Up to 30 biological races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have been identified based on their host preferences, forming a species complex (Sturhan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race(s) that breed on rye, oats and onions seem to be polyphagous and can also infest several other crops, whereas those breeding on lucerne,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and strawberries are virtually specific for their named hosts and seem to have relatively few alternative host plants. The tulip race will also infest </w:t>
      </w:r>
      <w:r>
        <w:rPr>
          <w:rFonts w:ascii="Calibri" w:hAnsi="Calibri" w:eastAsia="Calibri" w:cs="Calibri"/>
          <w:i/>
          <w:iCs/>
          <w:color w:val="000000"/>
          <w:sz w:val="22"/>
          <w:szCs w:val="22"/>
        </w:rPr>
        <w:t xml:space="preserve">Narcissus</w:t>
      </w:r>
      <w:r>
        <w:rPr>
          <w:rFonts w:ascii="Calibri" w:hAnsi="Calibri" w:eastAsia="Calibri" w:cs="Calibri"/>
          <w:color w:val="000000"/>
          <w:sz w:val="22"/>
          <w:szCs w:val="22"/>
        </w:rPr>
        <w:t xml:space="preserve">, whereas another race commonly found in </w:t>
      </w:r>
      <w:r>
        <w:rPr>
          <w:rFonts w:ascii="Calibri" w:hAnsi="Calibri" w:eastAsia="Calibri" w:cs="Calibri"/>
          <w:i/>
          <w:iCs/>
          <w:color w:val="000000"/>
          <w:sz w:val="22"/>
          <w:szCs w:val="22"/>
        </w:rPr>
        <w:t xml:space="preserve">Narcissus</w:t>
      </w:r>
      <w:r>
        <w:rPr>
          <w:rFonts w:ascii="Calibri" w:hAnsi="Calibri" w:eastAsia="Calibri" w:cs="Calibri"/>
          <w:color w:val="000000"/>
          <w:sz w:val="22"/>
          <w:szCs w:val="22"/>
        </w:rPr>
        <w:t xml:space="preserve"> does not breed on tulip. According to Whitehead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sugar beet race is polyphagous but cannot multiply on lucerne, whereas the lucerne race can reproduce on sugar beet. It is known that some of the races can interbreed and that their progeny has different host preferences. See also Sturhan (1969), Eriksson (1974). Recently, the giant race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has been recognized as a distinct species and is now known as </w:t>
      </w:r>
      <w:r>
        <w:rPr>
          <w:rFonts w:ascii="Calibri" w:hAnsi="Calibri" w:eastAsia="Calibri" w:cs="Calibri"/>
          <w:i/>
          <w:iCs/>
          <w:color w:val="000000"/>
          <w:sz w:val="22"/>
          <w:szCs w:val="22"/>
        </w:rPr>
        <w:t xml:space="preserve">Ditylenchus gigas</w:t>
      </w:r>
      <w:r>
        <w:rPr>
          <w:rFonts w:ascii="Calibri" w:hAnsi="Calibri" w:eastAsia="Calibri" w:cs="Calibri"/>
          <w:color w:val="000000"/>
          <w:sz w:val="22"/>
          <w:szCs w:val="22"/>
        </w:rPr>
        <w:t xml:space="preserve"> (Vovlas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are faba beans, garlic, </w:t>
      </w:r>
      <w:r>
        <w:rPr>
          <w:rFonts w:ascii="Calibri" w:hAnsi="Calibri" w:eastAsia="Calibri" w:cs="Calibri"/>
          <w:i/>
          <w:iCs/>
          <w:color w:val="000000"/>
          <w:sz w:val="22"/>
          <w:szCs w:val="22"/>
        </w:rPr>
        <w:t xml:space="preserve">Hyacinthus orientalis</w:t>
      </w:r>
      <w:r>
        <w:rPr>
          <w:rFonts w:ascii="Calibri" w:hAnsi="Calibri" w:eastAsia="Calibri" w:cs="Calibri"/>
          <w:color w:val="000000"/>
          <w:sz w:val="22"/>
          <w:szCs w:val="22"/>
        </w:rPr>
        <w:t xml:space="preserve">, leeks, lucerne, maize, </w:t>
      </w:r>
      <w:r>
        <w:rPr>
          <w:rFonts w:ascii="Calibri" w:hAnsi="Calibri" w:eastAsia="Calibri" w:cs="Calibri"/>
          <w:i/>
          <w:iCs/>
          <w:color w:val="000000"/>
          <w:sz w:val="22"/>
          <w:szCs w:val="22"/>
        </w:rPr>
        <w:t xml:space="preserve">Narcissus pseudonarcissus</w:t>
      </w:r>
      <w:r>
        <w:rPr>
          <w:rFonts w:ascii="Calibri" w:hAnsi="Calibri" w:eastAsia="Calibri" w:cs="Calibri"/>
          <w:color w:val="000000"/>
          <w:sz w:val="22"/>
          <w:szCs w:val="22"/>
        </w:rPr>
        <w:t xml:space="preserve">, oats, onions, peas, </w:t>
      </w:r>
      <w:r>
        <w:rPr>
          <w:rFonts w:ascii="Calibri" w:hAnsi="Calibri" w:eastAsia="Calibri" w:cs="Calibri"/>
          <w:i/>
          <w:iCs/>
          <w:color w:val="000000"/>
          <w:sz w:val="22"/>
          <w:szCs w:val="22"/>
        </w:rPr>
        <w:t xml:space="preserve">Phlox drummondii, P. paniculata</w:t>
      </w:r>
      <w:r>
        <w:rPr>
          <w:rFonts w:ascii="Calibri" w:hAnsi="Calibri" w:eastAsia="Calibri" w:cs="Calibri"/>
          <w:color w:val="000000"/>
          <w:sz w:val="22"/>
          <w:szCs w:val="22"/>
        </w:rPr>
        <w:t xml:space="preserve">, potatoes, rye, strawberries, sugar beet, tobacco, </w:t>
      </w:r>
      <w:r>
        <w:rPr>
          <w:rFonts w:ascii="Calibri" w:hAnsi="Calibri" w:eastAsia="Calibri" w:cs="Calibri"/>
          <w:i/>
          <w:iCs/>
          <w:color w:val="000000"/>
          <w:sz w:val="22"/>
          <w:szCs w:val="22"/>
        </w:rPr>
        <w:t xml:space="preserve">Trifolium pratense, T. repens,</w:t>
      </w:r>
      <w:r>
        <w:rPr>
          <w:rFonts w:ascii="Calibri" w:hAnsi="Calibri" w:eastAsia="Calibri" w:cs="Calibri"/>
          <w:color w:val="000000"/>
          <w:sz w:val="22"/>
          <w:szCs w:val="22"/>
        </w:rPr>
        <w:t xml:space="preserve"> tulips.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has also been reported on carnations, celery,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lentils, oilseed rape, parsley, sunflower, wheat.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Acanthophyllum cerastioides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Aetheorhiza bulbosa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Aethusa cynapium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amica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ampeloprasum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ascalonicum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caeruleum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galanthum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oreophilum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schoenoprasum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sphaerocephalon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triquetrum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vavilovii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vineale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Alopecurus geniculatus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Amaryllis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Amberboa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Amsinckia menziesii var.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Anchusa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archangelica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Anthoxanthum odoratum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Anthriscus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Anthyllis vulneraria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Apera spica-venti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Arabidopsis thaliana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Arabis alpina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Arabis aubrietioides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Arenaria serpyllifolia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Arnoseris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Arrhenatherum elatius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setaceus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Asphodeline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Aubrieta deltoidea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Aucuba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byzantina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fatua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nuda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sterilis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glutinosa var.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Bellevalia romana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 longiflora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Brachypodium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 subsp. rapifera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gongylodes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catharticus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Camelina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persicifolia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Carduus acanthoides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Carlina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cyanus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jacea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Chelone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oleraceum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x tataricum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autumnale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speciosum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x agrippinum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Collomia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Collomia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Consolida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Convallaria majalis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capillaris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leontodontoides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vesicaria subsp. taraxacifolia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Crocus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Cynosurus cristatus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Dactylis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trolliifolium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plumarius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ferruginea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Dipsacus fullonum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Equisetum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praealta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Eremurus stenophyllus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Eriocapitella hupehensis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x cheiri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x marshallii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Ficaria verna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refracta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Galanthus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Galanthus nivalis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ladanum subsp.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ladanum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Galeopsis tetrahit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aparine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tricornutum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Gilia achilleifolia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dalenii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Goeppertia lindbergii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tuberosus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Helleborus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Hepatica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Hyacinthoides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Hyacinthoides non-scripta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Hyoscyamus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Hypochaeris radicata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Ipomopsis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Isatis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Ismene narcissiflora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Juncus bufonius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Kickxia spuria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Knautia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Kniphofia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Koeleria pyramidata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Leondoton hispidus subsp. hastilis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Leontodon hispidus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Leontodon incanus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Leontopodium nivale subsp. alpinum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coronopus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draba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Liatris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longiflorum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regale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Linaria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Lipandra polysperma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angustifolius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luteus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Lycoris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orbicularis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 subsp.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Melampyrum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Mollugo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Muscari botryoides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Muscari neglectum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Muscari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Myosotis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Myriophyllum verticillatum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assoanus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bulbocodium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cyclamineus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poeticus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pseudonarcissus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romieuxii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tazetta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x incomparabilis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x odorus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Navarretia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Odontites vernus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tetragona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Onobrychis viciifolia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Ornithogalum candicans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Ornithogalum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Ornithopus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Orobanche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somniferum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eatonii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gentianoides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tanacetifolia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amoena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subulata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Pilosella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rugelii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trivialis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anserina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Polyanthus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anisodora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aurantiaca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bulleyana subsp. beesiana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bulleyana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chionantha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chungensis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cortusoides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denticulata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farinosa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florindae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frondosa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helodoxa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juliae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latisecta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luteola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megaseifolia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nana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polyneura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pulverulenta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saxatilis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secundiflora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sikkimensis var. sikkimensis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sikkimensis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veris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wilsonii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Puschkinia scilloides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abortivus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acris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auricomus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bulbosus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Roemeria argemone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conglomeratus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obtusifolius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Saxifraga cotyledon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retusus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x wisetonensis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luciliae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sardensis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siberica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Scleranthus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Scorzoneroides pyrenaica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Sherardia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noctiflora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schafta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Simethis planifolia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demissum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stoloniferum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Spergula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Sprekelia formosissima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Sternbergia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squamatum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Takhtajaniantha tau-saghyz</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cinerariifolium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Thlaspi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Tigridia pavonia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Tigridia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Tragopogon porrifolius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fragiferum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hybridum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Tripleurospermum maritimum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Tuberaria guttata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Tulipa gesneriana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Urceolina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Valerianella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Valerianella locusta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agrestis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hederifolia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serpyllifolia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cracca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flaccida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occurs locally in most temperate areas of the world (Europe and the Mediterranean region, North and South America, Northern and Southern Africa, Asia and Oceania) but it does not seem able to establish in tropical regions except at higher altitudes that have a temperate climate. In most countries regulatory measures (e.g. certification schemes) are applied to minimize further spread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w:t>
      </w:r>
    </w:p>
    <w:p>
      <w:r>
        <w:drawing>
          <wp:inline distT="0" distB="0" distL="0" distR="0">
            <wp:extent cx="6120000" cy="3067200"/>
            <wp:docPr id="81999887" name="name18596803be9d44e7b" descr="DITYD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TYDI_distribution_map.jpg"/>
                    <pic:cNvPicPr/>
                  </pic:nvPicPr>
                  <pic:blipFill>
                    <a:blip r:embed="rId29786803be9d44e7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Belarus, Belgium, Bosnia and Herzegovina, Bulgaria, Croatia, Cyprus, Czechia, Denmark, Estonia, Finland, France (mainland), Georgia, Germany, Greece (mainland), Hungary, Ireland, Israel, Italy (mainland, Sicilia), Jordan, Kazakhstan, Kyrgyzstan, Latvia, Lithuania, Malta, Moldova, Republic of, Morocco, Netherlands, North Macedonia, Norway, Poland, Portugal (mainland, Azores), Romania, Russian Federation (the) (Central Russia, Far East, Southern Russia, Western Siberia), Serbia, Slovakia, Slovenia, Spain (mainland), Sweden, Switzerland, Tunisia, Türkiye, Ukraine, United Kingdom (England, Scotland),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Kenya, Morocco, Reunion,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(Gansu, Hebei, Henan, Shandong, Sichuan, Xinjiang), Indonesia (Java), Iran, Islamic Republic of, Iraq, Israel, Japan (Honshu), Jordan, Kazakhstan, Korea, Republic of, Kyrgyzstan, Oman, Pakistan, Syrian Arab Republic, Uzbekistan,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Ontario, Prince Edward Island, Québec, Saskatchewan), Mexico, United States of America (Alabama, Arizona, California, Colorado, Hawaii, Idaho, Michigan, Minnesota, Montana, Nevada, New Hampshire, New Mexico, New York, North Carolina, Ohio, Oregon, South Dakota, Utah, Virginia, Washington,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 Haiti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(Minas Gerais, Paraiba, Parana, Rio Grande do Sul, Santa Catarina, Sao Paulo), Chile, Colombia, Ecuador,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It is assumed that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invades seedlings through the stomata of the hypocotyl and cotyledons, and then migrates to the upper part of the hypocotyl, which later develops into the bulb or crown of the plant. </w:t>
      </w:r>
      <w:r>
        <w:rPr>
          <w:rFonts w:ascii="Calibri" w:hAnsi="Calibri" w:eastAsia="Calibri" w:cs="Calibri"/>
          <w:i/>
          <w:iCs/>
          <w:color w:val="000000"/>
          <w:sz w:val="22"/>
          <w:szCs w:val="22"/>
        </w:rPr>
        <w:t xml:space="preserve">D. dipsaci </w:t>
      </w:r>
      <w:r>
        <w:rPr>
          <w:rFonts w:ascii="Calibri" w:hAnsi="Calibri" w:eastAsia="Calibri" w:cs="Calibri"/>
          <w:color w:val="000000"/>
          <w:sz w:val="22"/>
          <w:szCs w:val="22"/>
        </w:rPr>
        <w:t xml:space="preserve">feeds on the cells of the host plant (Hooper, 1971). Injected enzymes in the host cells dissolve the middle lamellae, causing an imbalance in plant hormones, cell hypertrophy, and the formation of intercellular cavities (Duncan and Moens,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onion plants at 15°C, the life cycle takes about 20 days. Females lay 200 to 500 eggs each. The reproductive capacity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varies significantly based on environmental conditions and host tissue (Barbercheck and Duncan, 2004). Griffith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documented a daily production of 0.8 and 3.1 eggs on white clover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at temperatures of 10°C and 20°C respectively. Fourth-stage juveniles (dauer larvae) allow nematodes to survive in the absence of a host plant. They tend to aggregate on, or just below, the surface of heavily infested tissue to form clumps of "eelworm wool" and can survive in dry conditions for several years. They may also be attached to the seeds of host plants. Cool, moist conditions favour the infection of young plant tissue by this nematode.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commonly exhibit stunted growth, as well as swelling of the hypocotyl and epicotyl (Caubel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Early infections in plants can lead to a low emergence rate and the death of young seedlings (Storelli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Furthermore,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infection can have long-lasting effects, characterized by tissue rotting at harvest or during storage. The damage usually occurs in patches within the fields.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Allium</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Penetration of onion leaves by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causes leaf deformation and leaf swellings or blister-like areas on the surface. The leaves grow in a disorderly manner, often hang as if wilted and become chlorotic. Young plants can be killed by high infestations. The inner scales of the bulb are usually more severely attacked than the outer scales. As the season advances the bulbs become soft and when cut open show browning of the scales in concentric circles. Conversely,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on garlic does not induce deformations or swellings, but causes leaf yellowing and death (Netscher &amp; Sikora, 1990).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lucerne</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decline in patches in the field and damage is more serious in humid climates. The whole plant becomes desiccated and presents symptoms of stunting and swelling at the base of the stem with conspicuous shortened internodes. High levels of infestation can kill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sugar beet</w:t>
      </w:r>
    </w:p>
    <w:p>
      <w:pPr>
        <w:widowControl w:val="on"/>
        <w:pBdr/>
        <w:spacing w:before="220" w:after="220" w:line="240" w:lineRule="auto"/>
        <w:ind w:left="0" w:right="0"/>
        <w:jc w:val="both"/>
      </w:pPr>
      <w:r>
        <w:rPr>
          <w:rFonts w:ascii="Calibri" w:hAnsi="Calibri" w:eastAsia="Calibri" w:cs="Calibri"/>
          <w:color w:val="000000"/>
          <w:sz w:val="22"/>
          <w:szCs w:val="22"/>
        </w:rPr>
        <w:t xml:space="preserve">Penetration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on sugar beet seedlings results in the swelling of hypocotyls and the distortion of leaves (Storelli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As the growing season progresses, secondary infection by soil-borne pathogens favored by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infestation contribute to crown decomposition in sugar beets (Storelli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Slender transparent worms; adult about 1.2 mm long; head structure moderately developed, spear about 10-12 µm long with distinct basal knobs; lateral fields with four incisures; tail terminus sharply pointed. Post-vulval sac extending about half-way to the anus. See Hooper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can be isolated from soil or plant tissue using Oostenbrink dishes for 24-48 h (EPPO, 2013). Adult and larval individuals can be determined using an optical microscope on the basis of morphological characteristics. When necessary, molecular identification is used.</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details on the detection and identification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can be found in the EPPO diagnostic protocol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w:t>
      </w:r>
      <w:r>
        <w:rPr>
          <w:rFonts w:ascii="Calibri" w:hAnsi="Calibri" w:eastAsia="Calibri" w:cs="Calibri"/>
          <w:i/>
          <w:iCs/>
          <w:color w:val="000000"/>
          <w:sz w:val="22"/>
          <w:szCs w:val="22"/>
        </w:rPr>
        <w:t xml:space="preserve">D. dipsac</w:t>
      </w:r>
      <w:r>
        <w:rPr>
          <w:rFonts w:ascii="Calibri" w:hAnsi="Calibri" w:eastAsia="Calibri" w:cs="Calibri"/>
          <w:color w:val="000000"/>
          <w:sz w:val="22"/>
          <w:szCs w:val="22"/>
        </w:rPr>
        <w:t xml:space="preserve">i is liable to be carried on dry seeds and planting material of host plants. In the field,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migration to the soil surface, where infection occurs, is initiated by rainfall or irrigation (Barbercheck and Duncan, 2004). Regular rainfall in spring or autumn just after sowing favours nematode infection.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dipsac</w:t>
      </w:r>
      <w:r>
        <w:rPr>
          <w:rFonts w:ascii="Calibri" w:hAnsi="Calibri" w:eastAsia="Calibri" w:cs="Calibri"/>
          <w:color w:val="000000"/>
          <w:sz w:val="22"/>
          <w:szCs w:val="22"/>
        </w:rPr>
        <w:t xml:space="preserve">i is one of the most devastating plant parasitic nematodes, especially in temperate regions. Without control, it can cause complete failure of host crops (e.g. onions, garlic, sugar beet, legumes, strawberries, ornamental plants, especially flower bulbs).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effective direct management method for controlling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in the field. Its broad host range and its capacity to survive many years without host plants hinders the success of crop rotation strategies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Successions of crops with high nematode reproduction potential should be avoided.</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Nematode-free (certified) seeds and planting material are essential to prevent crop damage by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Hot-water treatments with different temperature-time combinations, depending on type and state of seed material, are operational and efficient to control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(Gratwick &amp; Southey, 1972). Abamectin B1 and hydrogen cyanide treatment on garlic bulbs prevent nematode transmission through seed material. The use of tolerant or resistant cultivars can also reduce the damage. Cultivars that are resistant (or partially resistant) to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have been reported in clover, alfalfa, faba bean, potatoes, and oat (Storelli,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the distribution of the different races throughout the region is patchy and some countries apply official control measures to limit spread. Other countries regard the pest as being a quality pest which can be effectively controlled by production and use of healthy planting material. Without control,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may cause complete failure of host crops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implementation of certification schemes for the production of host plants of </w:t>
      </w:r>
      <w:r>
        <w:rPr>
          <w:rFonts w:ascii="Calibri" w:hAnsi="Calibri" w:eastAsia="Calibri" w:cs="Calibri"/>
          <w:i/>
          <w:iCs/>
          <w:color w:val="000000"/>
          <w:sz w:val="22"/>
          <w:szCs w:val="22"/>
        </w:rPr>
        <w:t xml:space="preserve">D. dipsaci</w:t>
      </w:r>
      <w:r>
        <w:rPr>
          <w:rFonts w:ascii="Calibri" w:hAnsi="Calibri" w:eastAsia="Calibri" w:cs="Calibri"/>
          <w:color w:val="000000"/>
          <w:sz w:val="22"/>
          <w:szCs w:val="22"/>
        </w:rPr>
        <w:t xml:space="preserve"> can ensure the production of planting material free from the pest. Restrictions on the movements of plants for planting and seeds of host plants from countries where this nematode occurs may be recommended.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Barbercheck ME &amp; Duncan LW (2004) Abiotic factors. In Gaugler R, Bilgrami AL (Eds.): </w:t>
      </w:r>
      <w:r>
        <w:rPr>
          <w:rFonts w:ascii="Calibri" w:hAnsi="Calibri" w:eastAsia="Calibri" w:cs="Calibri"/>
          <w:i/>
          <w:iCs/>
          <w:color w:val="000000"/>
          <w:sz w:val="22"/>
          <w:szCs w:val="22"/>
        </w:rPr>
        <w:t xml:space="preserve">Nematode behaviour</w:t>
      </w:r>
      <w:r>
        <w:rPr>
          <w:rFonts w:ascii="Calibri" w:hAnsi="Calibri" w:eastAsia="Calibri" w:cs="Calibri"/>
          <w:color w:val="000000"/>
          <w:sz w:val="22"/>
          <w:szCs w:val="22"/>
        </w:rPr>
        <w:t xml:space="preserve">. Wallingford. CABI Publishing, pp. 309–344.</w:t>
      </w:r>
    </w:p>
    <w:p>
      <w:pPr>
        <w:widowControl w:val="on"/>
        <w:pBdr/>
        <w:spacing w:before="220" w:after="220" w:line="240" w:lineRule="auto"/>
        <w:ind w:left="0" w:right="0"/>
        <w:jc w:val="left"/>
      </w:pPr>
      <w:r>
        <w:rPr>
          <w:rFonts w:ascii="Calibri" w:hAnsi="Calibri" w:eastAsia="Calibri" w:cs="Calibri"/>
          <w:color w:val="000000"/>
          <w:sz w:val="22"/>
          <w:szCs w:val="22"/>
        </w:rPr>
        <w:t xml:space="preserve">Caubel G, Chatot F &amp; Mousset-Declas C (1994) Résistance variétale du trèfle violet au nématode des tiges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Fourrages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165–173. </w:t>
      </w:r>
      <w:hyperlink r:id="rId90676803be9d45c97" w:history="1">
        <w:r>
          <w:rPr>
            <w:rFonts w:ascii="Calibri" w:hAnsi="Calibri" w:eastAsia="Calibri" w:cs="Calibri"/>
            <w:color w:val="0000CC"/>
            <w:sz w:val="22"/>
            <w:szCs w:val="22"/>
            <w:u w:val="single"/>
          </w:rPr>
          <w:t xml:space="preserve">https://jeb.biologists.org/content/jexbio/199/5/1085.full.pdf</w:t>
        </w:r>
      </w:hyperlink>
      <w:r>
        <w:rPr>
          <w:rFonts w:ascii="Calibri" w:hAnsi="Calibri" w:eastAsia="Calibri" w:cs="Calibri"/>
          <w:color w:val="000000"/>
          <w:sz w:val="22"/>
          <w:szCs w:val="22"/>
        </w:rPr>
        <w:t xml:space="preserve"> [accessed on 22 June 2023].</w:t>
      </w:r>
    </w:p>
    <w:p>
      <w:pPr>
        <w:widowControl w:val="on"/>
        <w:pBdr/>
        <w:spacing w:before="220" w:after="220" w:line="240" w:lineRule="auto"/>
        <w:ind w:left="0" w:right="0"/>
        <w:jc w:val="left"/>
      </w:pPr>
      <w:r>
        <w:rPr>
          <w:rFonts w:ascii="Calibri" w:hAnsi="Calibri" w:eastAsia="Calibri" w:cs="Calibri"/>
          <w:color w:val="000000"/>
          <w:sz w:val="22"/>
          <w:szCs w:val="22"/>
        </w:rPr>
        <w:t xml:space="preserve">Eriksson KB (1974) Intraspecific variation in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 Compatibility tests with races.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147-162.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 </w:t>
      </w:r>
      <w:hyperlink r:id="rId92366803be9d45d91" w:history="1">
        <w:r>
          <w:rPr>
            <w:rFonts w:ascii="Calibri" w:hAnsi="Calibri" w:eastAsia="Calibri" w:cs="Calibri"/>
            <w:color w:val="0000CC"/>
            <w:sz w:val="22"/>
            <w:szCs w:val="22"/>
            <w:u w:val="single"/>
          </w:rPr>
          <w:t xml:space="preserve">https://doi.org/10.1111/epp.12077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PM 7/87 (2) </w:t>
      </w:r>
      <w:r>
        <w:rPr>
          <w:rFonts w:ascii="Calibri" w:hAnsi="Calibri" w:eastAsia="Calibri" w:cs="Calibri"/>
          <w:i/>
          <w:iCs/>
          <w:color w:val="000000"/>
          <w:sz w:val="22"/>
          <w:szCs w:val="22"/>
        </w:rPr>
        <w:t xml:space="preserve">Ditylenchus destructor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Ditylenchus dipsaci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401-419. </w:t>
      </w:r>
      <w:hyperlink r:id="rId48716803be9d45e44" w:history="1">
        <w:r>
          <w:rPr>
            <w:rFonts w:ascii="Calibri" w:hAnsi="Calibri" w:eastAsia="Calibri" w:cs="Calibri"/>
            <w:color w:val="0000CC"/>
            <w:sz w:val="22"/>
            <w:szCs w:val="22"/>
            <w:u w:val="single"/>
          </w:rPr>
          <w:t xml:space="preserve">https://doi.org/10.1111/epp.12433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Gratwick M &amp; Southey JF (1972) Hot-water treatment of plant material.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Ministry of Agriculture, </w:t>
      </w:r>
      <w:r>
        <w:rPr>
          <w:rFonts w:ascii="Calibri" w:hAnsi="Calibri" w:eastAsia="Calibri" w:cs="Calibri"/>
          <w:i/>
          <w:iCs/>
          <w:color w:val="000000"/>
          <w:sz w:val="22"/>
          <w:szCs w:val="22"/>
        </w:rPr>
        <w:t xml:space="preserve">Fisheries and Food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201</w:t>
      </w:r>
      <w:r>
        <w:rPr>
          <w:rFonts w:ascii="Calibri" w:hAnsi="Calibri" w:eastAsia="Calibri" w:cs="Calibri"/>
          <w:color w:val="000000"/>
          <w:sz w:val="22"/>
          <w:szCs w:val="22"/>
        </w:rPr>
        <w:t xml:space="preserve">, 46 pp.</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 GS, Cook R &amp; Mizen KA (1997)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infestation of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II. Dynamics of infestation development.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(3), pp. 356–369.</w:t>
      </w:r>
    </w:p>
    <w:p>
      <w:pPr>
        <w:widowControl w:val="on"/>
        <w:pBdr/>
        <w:spacing w:before="220" w:after="220" w:line="240" w:lineRule="auto"/>
        <w:ind w:left="0" w:right="0"/>
        <w:jc w:val="left"/>
      </w:pPr>
      <w:r>
        <w:rPr>
          <w:rFonts w:ascii="Calibri" w:hAnsi="Calibri" w:eastAsia="Calibri" w:cs="Calibri"/>
          <w:color w:val="000000"/>
          <w:sz w:val="22"/>
          <w:szCs w:val="22"/>
        </w:rPr>
        <w:t xml:space="preserve">Hooper DJ (1971)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CIH Descriptions of Plant-parasitic Nematodes Set 1, No.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Hooper DJ &amp; Southey JF (1978) </w:t>
      </w:r>
      <w:r>
        <w:rPr>
          <w:rFonts w:ascii="Calibri" w:hAnsi="Calibri" w:eastAsia="Calibri" w:cs="Calibri"/>
          <w:i/>
          <w:iCs/>
          <w:color w:val="000000"/>
          <w:sz w:val="22"/>
          <w:szCs w:val="22"/>
        </w:rPr>
        <w:t xml:space="preserve">Ditylenchus, Anguina</w:t>
      </w:r>
      <w:r>
        <w:rPr>
          <w:rFonts w:ascii="Calibri" w:hAnsi="Calibri" w:eastAsia="Calibri" w:cs="Calibri"/>
          <w:color w:val="000000"/>
          <w:sz w:val="22"/>
          <w:szCs w:val="22"/>
        </w:rPr>
        <w:t xml:space="preserve"> and related genera. In: Plant nematology (Ed. by Southey JF)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pp. 78-97. Ministry of Agriculture, Fisheries and Food,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JT, Haegeman A, Danchin EG, Gaur HS, Helder J, Jones MG, Kikuchi T, Manzanilla-López R, Palomares-Rius JE, Wesemael WM, Perry RN (2013) Top 10 plant-parasitic nematodes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(9), 946-61. </w:t>
      </w:r>
      <w:hyperlink r:id="rId39106803be9d460b0" w:history="1">
        <w:r>
          <w:rPr>
            <w:rFonts w:ascii="Calibri" w:hAnsi="Calibri" w:eastAsia="Calibri" w:cs="Calibri"/>
            <w:color w:val="0000CC"/>
            <w:sz w:val="22"/>
            <w:szCs w:val="22"/>
            <w:u w:val="single"/>
          </w:rPr>
          <w:t xml:space="preserve">https://doi.org/10.1111/mpp.12057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Netscher C &amp; Sikora A (1990) Nematode parasites of vegetables. In: Plant parasitic nematodes in subtropical and tropical agriculture (Ed. by Luc M, Sikora RA, Bridge J), pp. 237-283.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Storelli A (2022) Investigation of resistance against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on sugar beet. </w:t>
      </w:r>
      <w:r>
        <w:rPr>
          <w:rFonts w:ascii="Calibri" w:hAnsi="Calibri" w:eastAsia="Calibri" w:cs="Calibri"/>
          <w:i/>
          <w:iCs/>
          <w:color w:val="000000"/>
          <w:sz w:val="22"/>
          <w:szCs w:val="22"/>
        </w:rPr>
        <w:t xml:space="preserve">Ph.D. dissertation</w:t>
      </w:r>
      <w:r>
        <w:rPr>
          <w:rFonts w:ascii="Calibri" w:hAnsi="Calibri" w:eastAsia="Calibri" w:cs="Calibri"/>
          <w:color w:val="000000"/>
          <w:sz w:val="22"/>
          <w:szCs w:val="22"/>
        </w:rPr>
        <w:t xml:space="preserve">. Institut für Zuckerrübenforschung Göttingen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138 pp.</w:t>
      </w:r>
    </w:p>
    <w:p>
      <w:pPr>
        <w:widowControl w:val="on"/>
        <w:pBdr/>
        <w:spacing w:before="220" w:after="220" w:line="240" w:lineRule="auto"/>
        <w:ind w:left="0" w:right="0"/>
        <w:jc w:val="left"/>
      </w:pPr>
      <w:r>
        <w:rPr>
          <w:rFonts w:ascii="Calibri" w:hAnsi="Calibri" w:eastAsia="Calibri" w:cs="Calibri"/>
          <w:color w:val="000000"/>
          <w:sz w:val="22"/>
          <w:szCs w:val="22"/>
        </w:rPr>
        <w:t xml:space="preserve">Storelli A, Keiser A, Eder R, Jenni S &amp; Kiewnick S (2020) Evaluation of fluopyram for the control of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in sugar beet.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1-10. </w:t>
      </w:r>
      <w:hyperlink r:id="rId94826803be9d461e2" w:history="1">
        <w:r>
          <w:rPr>
            <w:rFonts w:ascii="Calibri" w:hAnsi="Calibri" w:eastAsia="Calibri" w:cs="Calibri"/>
            <w:color w:val="0000CC"/>
            <w:sz w:val="22"/>
            <w:szCs w:val="22"/>
            <w:u w:val="single"/>
          </w:rPr>
          <w:t xml:space="preserve">https://doi.org/10.21307/jofnem-2020-071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Storelli A, Keiser A, Kiewnick S, Daub M, Mahlein AK, Beyer W &amp; Schumann M (2021) Development of a new in vivo protocol through soil inoculation to investigate sugar beet resistance towards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penetration.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(6), 685-694. </w:t>
      </w:r>
      <w:hyperlink r:id="rId87066803be9d46269" w:history="1">
        <w:r>
          <w:rPr>
            <w:rFonts w:ascii="Calibri" w:hAnsi="Calibri" w:eastAsia="Calibri" w:cs="Calibri"/>
            <w:color w:val="0000CC"/>
            <w:sz w:val="22"/>
            <w:szCs w:val="22"/>
            <w:u w:val="single"/>
          </w:rPr>
          <w:t xml:space="preserve">https://doi.org/10.1163/15685411-bja10069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Sturhan D (1969) [The race problem by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Mitteilungen der Biologischen Bundesanstalt für Land- und Forstwirtschaft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87-98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Sturhan D, Hallmann J &amp; Niere B (2008) A nematological jubilee: 150 years.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(Kühn, 1857).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(12), 261–266.</w:t>
      </w:r>
    </w:p>
    <w:p>
      <w:pPr>
        <w:widowControl w:val="on"/>
        <w:pBdr/>
        <w:spacing w:before="220" w:after="220" w:line="240" w:lineRule="auto"/>
        <w:ind w:left="0" w:right="0"/>
        <w:jc w:val="left"/>
      </w:pPr>
      <w:r>
        <w:rPr>
          <w:rFonts w:ascii="Calibri" w:hAnsi="Calibri" w:eastAsia="Calibri" w:cs="Calibri"/>
          <w:color w:val="000000"/>
          <w:sz w:val="22"/>
          <w:szCs w:val="22"/>
        </w:rPr>
        <w:t xml:space="preserve">Vovlas N, Troccoli A, Palomares-Rius JE, De Luca F, Liébanas G, Landa BB &amp; Subbotin SA (2011) D</w:t>
      </w:r>
      <w:r>
        <w:rPr>
          <w:rFonts w:ascii="Calibri" w:hAnsi="Calibri" w:eastAsia="Calibri" w:cs="Calibri"/>
          <w:i/>
          <w:iCs/>
          <w:color w:val="000000"/>
          <w:sz w:val="22"/>
          <w:szCs w:val="22"/>
        </w:rPr>
        <w:t xml:space="preserve">itylenchus gigas</w:t>
      </w:r>
      <w:r>
        <w:rPr>
          <w:rFonts w:ascii="Calibri" w:hAnsi="Calibri" w:eastAsia="Calibri" w:cs="Calibri"/>
          <w:color w:val="000000"/>
          <w:sz w:val="22"/>
          <w:szCs w:val="22"/>
        </w:rPr>
        <w:t xml:space="preserve"> n. sp. parasitizing broad bean: a new stem nematode singled out from the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species complex using a polyphasic approach with molecular phylogeny.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60</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762-775.</w:t>
      </w:r>
    </w:p>
    <w:p>
      <w:pPr>
        <w:widowControl w:val="on"/>
        <w:pBdr/>
        <w:spacing w:before="220" w:after="220" w:line="240" w:lineRule="auto"/>
        <w:ind w:left="0" w:right="0"/>
        <w:jc w:val="left"/>
      </w:pPr>
      <w:r>
        <w:rPr>
          <w:rFonts w:ascii="Calibri" w:hAnsi="Calibri" w:eastAsia="Calibri" w:cs="Calibri"/>
          <w:color w:val="000000"/>
          <w:sz w:val="22"/>
          <w:szCs w:val="22"/>
        </w:rPr>
        <w:t xml:space="preserve">Whitehead AG, Fraser JE &amp; Nichols AJF (1987) Variation in the development of stem nematodes,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in susceptible and resistant crop plants.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(2), pp. 373–383. </w:t>
      </w:r>
      <w:hyperlink r:id="rId26326803be9d464aa" w:history="1">
        <w:r>
          <w:rPr>
            <w:rFonts w:ascii="Calibri" w:hAnsi="Calibri" w:eastAsia="Calibri" w:cs="Calibri"/>
            <w:color w:val="0000CC"/>
            <w:sz w:val="22"/>
            <w:szCs w:val="22"/>
            <w:u w:val="single"/>
          </w:rPr>
          <w:t xml:space="preserve">https://doi.org/10.1111/j.1744-7348.1987.tb01465.x</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Alan Storelli, Agroscope, Switzerland.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EPPO datasheets on pests recommended for regulation. Available online. </w:t>
      </w:r>
      <w:hyperlink r:id="rId81166803be9d4657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in 'Quarantine Pests for Europe' and revised in the second edition of the book in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5612286" name="name75726803be9d4665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4736803be9d4665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101819">
    <w:multiLevelType w:val="hybridMultilevel"/>
    <w:lvl w:ilvl="0" w:tplc="60548721">
      <w:start w:val="1"/>
      <w:numFmt w:val="decimal"/>
      <w:lvlText w:val="%1."/>
      <w:lvlJc w:val="left"/>
      <w:pPr>
        <w:ind w:left="720" w:hanging="360"/>
      </w:pPr>
    </w:lvl>
    <w:lvl w:ilvl="1" w:tplc="60548721" w:tentative="1">
      <w:start w:val="1"/>
      <w:numFmt w:val="lowerLetter"/>
      <w:lvlText w:val="%2."/>
      <w:lvlJc w:val="left"/>
      <w:pPr>
        <w:ind w:left="1440" w:hanging="360"/>
      </w:pPr>
    </w:lvl>
    <w:lvl w:ilvl="2" w:tplc="60548721" w:tentative="1">
      <w:start w:val="1"/>
      <w:numFmt w:val="lowerRoman"/>
      <w:lvlText w:val="%3."/>
      <w:lvlJc w:val="right"/>
      <w:pPr>
        <w:ind w:left="2160" w:hanging="180"/>
      </w:pPr>
    </w:lvl>
    <w:lvl w:ilvl="3" w:tplc="60548721" w:tentative="1">
      <w:start w:val="1"/>
      <w:numFmt w:val="decimal"/>
      <w:lvlText w:val="%4."/>
      <w:lvlJc w:val="left"/>
      <w:pPr>
        <w:ind w:left="2880" w:hanging="360"/>
      </w:pPr>
    </w:lvl>
    <w:lvl w:ilvl="4" w:tplc="60548721" w:tentative="1">
      <w:start w:val="1"/>
      <w:numFmt w:val="lowerLetter"/>
      <w:lvlText w:val="%5."/>
      <w:lvlJc w:val="left"/>
      <w:pPr>
        <w:ind w:left="3600" w:hanging="360"/>
      </w:pPr>
    </w:lvl>
    <w:lvl w:ilvl="5" w:tplc="60548721" w:tentative="1">
      <w:start w:val="1"/>
      <w:numFmt w:val="lowerRoman"/>
      <w:lvlText w:val="%6."/>
      <w:lvlJc w:val="right"/>
      <w:pPr>
        <w:ind w:left="4320" w:hanging="180"/>
      </w:pPr>
    </w:lvl>
    <w:lvl w:ilvl="6" w:tplc="60548721" w:tentative="1">
      <w:start w:val="1"/>
      <w:numFmt w:val="decimal"/>
      <w:lvlText w:val="%7."/>
      <w:lvlJc w:val="left"/>
      <w:pPr>
        <w:ind w:left="5040" w:hanging="360"/>
      </w:pPr>
    </w:lvl>
    <w:lvl w:ilvl="7" w:tplc="60548721" w:tentative="1">
      <w:start w:val="1"/>
      <w:numFmt w:val="lowerLetter"/>
      <w:lvlText w:val="%8."/>
      <w:lvlJc w:val="left"/>
      <w:pPr>
        <w:ind w:left="5760" w:hanging="360"/>
      </w:pPr>
    </w:lvl>
    <w:lvl w:ilvl="8" w:tplc="60548721" w:tentative="1">
      <w:start w:val="1"/>
      <w:numFmt w:val="lowerRoman"/>
      <w:lvlText w:val="%9."/>
      <w:lvlJc w:val="right"/>
      <w:pPr>
        <w:ind w:left="6480" w:hanging="180"/>
      </w:pPr>
    </w:lvl>
  </w:abstractNum>
  <w:abstractNum w:abstractNumId="56101818">
    <w:multiLevelType w:val="hybridMultilevel"/>
    <w:lvl w:ilvl="0" w:tplc="463651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101818">
    <w:abstractNumId w:val="56101818"/>
  </w:num>
  <w:num w:numId="56101819">
    <w:abstractNumId w:val="5610181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5004097" Type="http://schemas.microsoft.com/office/2011/relationships/commentsExtended" Target="commentsExtended.xml"/><Relationship Id="rId220461036" Type="http://schemas.microsoft.com/office/2011/relationships/people" Target="people.xml"/><Relationship Id="rId57436803be9d3eb61" Type="http://schemas.openxmlformats.org/officeDocument/2006/relationships/hyperlink" Target="https://gd.eppo.int/taxon/DITYDI/" TargetMode="External"/><Relationship Id="rId71986803be9d3ebcb" Type="http://schemas.openxmlformats.org/officeDocument/2006/relationships/hyperlink" Target="https://gd.eppo.int/taxon/DITYDI/categorization" TargetMode="External"/><Relationship Id="rId36366803be9d3f5d1" Type="http://schemas.openxmlformats.org/officeDocument/2006/relationships/hyperlink" Target="https://gd.eppo.int/taxon/DITYDI/photos" TargetMode="External"/><Relationship Id="rId90676803be9d45c97" Type="http://schemas.openxmlformats.org/officeDocument/2006/relationships/hyperlink" Target="https://jeb.biologists.org/content/jexbio/199/5/1085.full.pdf" TargetMode="External"/><Relationship Id="rId92366803be9d45d91" Type="http://schemas.openxmlformats.org/officeDocument/2006/relationships/hyperlink" Target="https://doi.org/10.1111/epp.12077" TargetMode="External"/><Relationship Id="rId48716803be9d45e44" Type="http://schemas.openxmlformats.org/officeDocument/2006/relationships/hyperlink" Target="https://doi.org/10.1111/epp.12433" TargetMode="External"/><Relationship Id="rId39106803be9d460b0" Type="http://schemas.openxmlformats.org/officeDocument/2006/relationships/hyperlink" Target="https://doi.org/10.1111/mpp.12057" TargetMode="External"/><Relationship Id="rId94826803be9d461e2" Type="http://schemas.openxmlformats.org/officeDocument/2006/relationships/hyperlink" Target="https://doi.org/10.21307/jofnem-2020-071" TargetMode="External"/><Relationship Id="rId87066803be9d46269" Type="http://schemas.openxmlformats.org/officeDocument/2006/relationships/hyperlink" Target="https://doi.org/10.1163/15685411-bja10069" TargetMode="External"/><Relationship Id="rId26326803be9d464aa" Type="http://schemas.openxmlformats.org/officeDocument/2006/relationships/hyperlink" Target="https://doi.org/10.1111/j.1744-7348.1987.tb01465.x" TargetMode="External"/><Relationship Id="rId81166803be9d46577" Type="http://schemas.openxmlformats.org/officeDocument/2006/relationships/hyperlink" Target="https://gd.eppo.int" TargetMode="External"/><Relationship Id="rId82096803be9d3f446" Type="http://schemas.openxmlformats.org/officeDocument/2006/relationships/image" Target="media/imgrId82096803be9d3f446.jpg"/><Relationship Id="rId29786803be9d44e77" Type="http://schemas.openxmlformats.org/officeDocument/2006/relationships/image" Target="media/imgrId29786803be9d44e77.jpg"/><Relationship Id="rId34736803be9d46656" Type="http://schemas.openxmlformats.org/officeDocument/2006/relationships/image" Target="media/imgrId34736803be9d4665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