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Gymnandrosoma aurantianum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2022-08-30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Gymnandrosoma aurantianum</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Lima</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Tortricidae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Argyroploce torticornis</w:t>
            </w:r>
            <w:r>
              <w:rPr>
                <w:rFonts w:ascii="Calibri" w:hAnsi="Calibri" w:eastAsia="Calibri" w:cs="Calibri"/>
                <w:color w:val="000000"/>
                <w:position w:val="-3"/>
                <w:sz w:val="22"/>
                <w:szCs w:val="22"/>
              </w:rPr>
              <w:t xml:space="preserve"> Meyrick, </w:t>
            </w:r>
            <w:r>
              <w:rPr>
                <w:rFonts w:ascii="Calibri" w:hAnsi="Calibri" w:eastAsia="Calibri" w:cs="Calibri"/>
                <w:i/>
                <w:iCs/>
                <w:color w:val="000000"/>
                <w:position w:val="-3"/>
                <w:sz w:val="22"/>
                <w:szCs w:val="22"/>
              </w:rPr>
              <w:t xml:space="preserve">Ecdytolopha aurantiana</w:t>
            </w:r>
            <w:r>
              <w:rPr>
                <w:rFonts w:ascii="Calibri" w:hAnsi="Calibri" w:eastAsia="Calibri" w:cs="Calibri"/>
                <w:color w:val="000000"/>
                <w:position w:val="-3"/>
                <w:sz w:val="22"/>
                <w:szCs w:val="22"/>
              </w:rPr>
              <w:t xml:space="preserve"> (Lima), </w:t>
            </w:r>
            <w:r>
              <w:rPr>
                <w:rFonts w:ascii="Calibri" w:hAnsi="Calibri" w:eastAsia="Calibri" w:cs="Calibri"/>
                <w:i/>
                <w:iCs/>
                <w:color w:val="000000"/>
                <w:position w:val="-3"/>
                <w:sz w:val="22"/>
                <w:szCs w:val="22"/>
              </w:rPr>
              <w:t xml:space="preserve">Ecdytolopha aurantianum</w:t>
            </w:r>
            <w:r>
              <w:rPr>
                <w:rFonts w:ascii="Calibri" w:hAnsi="Calibri" w:eastAsia="Calibri" w:cs="Calibri"/>
                <w:color w:val="000000"/>
                <w:position w:val="-3"/>
                <w:sz w:val="22"/>
                <w:szCs w:val="22"/>
              </w:rPr>
              <w:t xml:space="preserve"> (Lima), </w:t>
            </w:r>
            <w:r>
              <w:rPr>
                <w:rFonts w:ascii="Calibri" w:hAnsi="Calibri" w:eastAsia="Calibri" w:cs="Calibri"/>
                <w:i/>
                <w:iCs/>
                <w:color w:val="000000"/>
                <w:position w:val="-3"/>
                <w:sz w:val="22"/>
                <w:szCs w:val="22"/>
              </w:rPr>
              <w:t xml:space="preserve">Ecdytolopha torticornis</w:t>
            </w:r>
            <w:r>
              <w:rPr>
                <w:rFonts w:ascii="Calibri" w:hAnsi="Calibri" w:eastAsia="Calibri" w:cs="Calibri"/>
                <w:color w:val="000000"/>
                <w:position w:val="-3"/>
                <w:sz w:val="22"/>
                <w:szCs w:val="22"/>
              </w:rPr>
              <w:t xml:space="preserve"> (Meyrick)</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citrus fruit borer, macadamia nut borer</w:t>
            </w:r>
            <w:hyperlink r:id="rId9816668500bc66113"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 Alert list (formerly)</w:t>
            </w:r>
            <w:hyperlink r:id="rId8914668500bc6615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ECDYAU</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7298676" name="name2384668500bc669e2" descr="12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964.jpg"/>
                          <pic:cNvPicPr/>
                        </pic:nvPicPr>
                        <pic:blipFill>
                          <a:blip r:embed="rId6355668500bc669e0" cstate="print"/>
                          <a:stretch>
                            <a:fillRect/>
                          </a:stretch>
                        </pic:blipFill>
                        <pic:spPr>
                          <a:xfrm>
                            <a:off x="0" y="0"/>
                            <a:ext cx="2160000" cy="1281600"/>
                          </a:xfrm>
                          <a:prstGeom prst="rect">
                            <a:avLst/>
                          </a:prstGeom>
                          <a:ln w="0">
                            <a:noFill/>
                          </a:ln>
                        </pic:spPr>
                      </pic:pic>
                    </a:graphicData>
                  </a:graphic>
                </wp:inline>
              </w:drawing>
            </w:r>
            <w:hyperlink r:id="rId7685668500bc66b29"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r>
        <w:rPr>
          <w:rFonts w:ascii="Calibri" w:hAnsi="Calibri" w:eastAsia="Calibri" w:cs="Calibri"/>
          <w:color w:val="000000"/>
          <w:sz w:val="22"/>
          <w:szCs w:val="22"/>
        </w:rPr>
        <w:t xml:space="preserve">In addition to the name </w:t>
      </w:r>
      <w:r>
        <w:rPr>
          <w:rFonts w:ascii="Calibri" w:hAnsi="Calibri" w:eastAsia="Calibri" w:cs="Calibri"/>
          <w:i/>
          <w:iCs/>
          <w:color w:val="000000"/>
          <w:sz w:val="22"/>
          <w:szCs w:val="22"/>
        </w:rPr>
        <w:t xml:space="preserve">Gymnandrosoma aurantianum</w:t>
      </w:r>
      <w:r>
        <w:rPr>
          <w:rFonts w:ascii="Calibri" w:hAnsi="Calibri" w:eastAsia="Calibri" w:cs="Calibri"/>
          <w:color w:val="000000"/>
          <w:sz w:val="22"/>
          <w:szCs w:val="22"/>
        </w:rPr>
        <w:t xml:space="preserve">, the synonyms </w:t>
      </w:r>
      <w:r>
        <w:rPr>
          <w:rFonts w:ascii="Calibri" w:hAnsi="Calibri" w:eastAsia="Calibri" w:cs="Calibri"/>
          <w:i/>
          <w:iCs/>
          <w:color w:val="000000"/>
          <w:sz w:val="22"/>
          <w:szCs w:val="22"/>
        </w:rPr>
        <w:t xml:space="preserve">Ecdytolopha aurantianum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torticornis</w:t>
      </w:r>
      <w:r>
        <w:rPr>
          <w:rFonts w:ascii="Calibri" w:hAnsi="Calibri" w:eastAsia="Calibri" w:cs="Calibri"/>
          <w:color w:val="000000"/>
          <w:sz w:val="22"/>
          <w:szCs w:val="22"/>
        </w:rPr>
        <w:t xml:space="preserve"> are widely used in the literature (EPPO, 2020). Morphological and host differences were observed between the specimens in Costa Rica (</w:t>
      </w:r>
      <w:r>
        <w:rPr>
          <w:rFonts w:ascii="Calibri" w:hAnsi="Calibri" w:eastAsia="Calibri" w:cs="Calibri"/>
          <w:i/>
          <w:iCs/>
          <w:color w:val="000000"/>
          <w:sz w:val="22"/>
          <w:szCs w:val="22"/>
        </w:rPr>
        <w:t xml:space="preserve">E. torticornis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in other parts of its range. For example, the pest has only been reported infesting macadamia in Costa Rica, despite the fact that other known hosts are present in areas where the pest occurs (Blanco-Metzler, 1994; Blanco-Metzler, pers. comm. 2019). It is not known if these differences are biological and ecological or relate to the existence of a complex of species (EPPO, 2020). To date (2021–11), </w:t>
      </w:r>
      <w:r>
        <w:rPr>
          <w:rFonts w:ascii="Calibri" w:hAnsi="Calibri" w:eastAsia="Calibri" w:cs="Calibri"/>
          <w:i/>
          <w:iCs/>
          <w:color w:val="000000"/>
          <w:sz w:val="22"/>
          <w:szCs w:val="22"/>
        </w:rPr>
        <w:t xml:space="preserve">E. torticornis</w:t>
      </w:r>
      <w:r>
        <w:rPr>
          <w:rFonts w:ascii="Calibri" w:hAnsi="Calibri" w:eastAsia="Calibri" w:cs="Calibri"/>
          <w:color w:val="000000"/>
          <w:sz w:val="22"/>
          <w:szCs w:val="22"/>
        </w:rPr>
        <w:t xml:space="preserve"> is treated as a synonym of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as formalized in Adamski and Brown (2001).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Gymnandrosoma aurantianum</w:t>
      </w:r>
      <w:r>
        <w:rPr>
          <w:rFonts w:ascii="Calibri" w:hAnsi="Calibri" w:eastAsia="Calibri" w:cs="Calibri"/>
          <w:color w:val="000000"/>
          <w:sz w:val="22"/>
          <w:szCs w:val="22"/>
        </w:rPr>
        <w:t xml:space="preserve"> has been recorded on a wide range of woody or herbaceous fruit plants, cultivated or in the wild, from various families. Many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species are confirmed hosts. When impact is mentioned in the recent literature, it relates mainly to orange (</w:t>
      </w:r>
      <w:r>
        <w:rPr>
          <w:rFonts w:ascii="Calibri" w:hAnsi="Calibri" w:eastAsia="Calibri" w:cs="Calibri"/>
          <w:i/>
          <w:iCs/>
          <w:color w:val="000000"/>
          <w:sz w:val="22"/>
          <w:szCs w:val="22"/>
        </w:rPr>
        <w:t xml:space="preserve">Citrus sinensis</w:t>
      </w:r>
      <w:r>
        <w:rPr>
          <w:rFonts w:ascii="Calibri" w:hAnsi="Calibri" w:eastAsia="Calibri" w:cs="Calibri"/>
          <w:color w:val="000000"/>
          <w:sz w:val="22"/>
          <w:szCs w:val="22"/>
        </w:rPr>
        <w:t xml:space="preserve">), mandarin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macadamia (</w:t>
      </w:r>
      <w:r>
        <w:rPr>
          <w:rFonts w:ascii="Calibri" w:hAnsi="Calibri" w:eastAsia="Calibri" w:cs="Calibri"/>
          <w:i/>
          <w:iCs/>
          <w:color w:val="000000"/>
          <w:sz w:val="22"/>
          <w:szCs w:val="22"/>
        </w:rPr>
        <w:t xml:space="preserve">Macadamia integrifolia</w:t>
      </w:r>
      <w:r>
        <w:rPr>
          <w:rFonts w:ascii="Calibri" w:hAnsi="Calibri" w:eastAsia="Calibri" w:cs="Calibri"/>
          <w:color w:val="000000"/>
          <w:sz w:val="22"/>
          <w:szCs w:val="22"/>
        </w:rPr>
        <w:t xml:space="preserve">), cocoa (</w:t>
      </w:r>
      <w:r>
        <w:rPr>
          <w:rFonts w:ascii="Calibri" w:hAnsi="Calibri" w:eastAsia="Calibri" w:cs="Calibri"/>
          <w:i/>
          <w:iCs/>
          <w:color w:val="000000"/>
          <w:sz w:val="22"/>
          <w:szCs w:val="22"/>
        </w:rPr>
        <w:t xml:space="preserve">Theobroma cacao</w:t>
      </w:r>
      <w:r>
        <w:rPr>
          <w:rFonts w:ascii="Calibri" w:hAnsi="Calibri" w:eastAsia="Calibri" w:cs="Calibri"/>
          <w:color w:val="000000"/>
          <w:sz w:val="22"/>
          <w:szCs w:val="22"/>
        </w:rPr>
        <w:t xml:space="preserve">) and sacha inchi (</w:t>
      </w:r>
      <w:r>
        <w:rPr>
          <w:rFonts w:ascii="Calibri" w:hAnsi="Calibri" w:eastAsia="Calibri" w:cs="Calibri"/>
          <w:i/>
          <w:iCs/>
          <w:color w:val="000000"/>
          <w:sz w:val="22"/>
          <w:szCs w:val="22"/>
        </w:rPr>
        <w:t xml:space="preserve">Plukenetia volubilis</w:t>
      </w:r>
      <w:r>
        <w:rPr>
          <w:rFonts w:ascii="Calibri" w:hAnsi="Calibri" w:eastAsia="Calibri" w:cs="Calibri"/>
          <w:color w:val="000000"/>
          <w:sz w:val="22"/>
          <w:szCs w:val="22"/>
        </w:rPr>
        <w:t xml:space="preserve">). It is worth noting that some hosts are only recorded in older literature and do not appear in recent literature on outbreaks (EPPO, 2020).</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authors make the hypothesis that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has passed from native hosts to exotic cultivated hosts, such as macadamia in Costa Rica (Blanco-Metzler, 1994). Owing to the wide host range of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and the fact that it has passed on to new hosts in the Americas, it is not excluded that it may be able to attack other fruit plants if the fruit is suitable for its development, including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species that are currently not recorded as hosts (EPPO, 2020).</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cherimola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squamosa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Averrhoa carambola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Byrsonima crassifolia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Carya illinoinensis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Cojoba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Cupania vernalis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Litchi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Macadamia integrifolia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Melicoccus bijugatus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Pithecellobium dulce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Plukenetia volubilis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Sapindus saponaria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Theobroma cacao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has been recorded in most countries of Central and South America, as well as in Mexico and in a few countries of the Caribbean. As of 2021, its distribution extends between latitudes from ca. 19°N to 34°S (i.e. northern Argentina in the South). The current distribution and pest status of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is not known for a number of countries as for these cases little information has been published or records date from the start of the 1900s (including Bolivia, Cuba, French Guiana, Honduras, Mexico, Nicaragua, Panama and Suriname; EPPO, 2020) </w:t>
      </w:r>
    </w:p>
    <w:p>
      <w:r>
        <w:drawing>
          <wp:inline distT="0" distB="0" distL="0" distR="0">
            <wp:extent cx="6120000" cy="3067200"/>
            <wp:docPr id="78852501" name="name1750668500bc6806c" descr="ECDYA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DYAU_distribution_map.jpg"/>
                    <pic:cNvPicPr/>
                  </pic:nvPicPr>
                  <pic:blipFill>
                    <a:blip r:embed="rId1114668500bc68068"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Cuba, Dominican Republic, El Salvador, Guatemala, Honduras, Nicaragua, Panama, Puerto Rico,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(Alagoas, Amazonas, Bahia, Distrito Federal, Espirito Santo, Goias, Maranhao, Mato Grosso, Minas Gerais, Para, Parana, Rio de Janeiro, Rio Grande do Sul, Rondonia, Santa Catarina, Sao Paulo), Colombia, Ecuador, French Guiana, Peru, Suriname, Uruguay,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duration of the life cycle reported in the literature ranges from 27 to 96  days, and it varies with the attacked host and variety, fruit maturity, temperature and relative humidity (Bento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Fundecitrus, 2007; Parra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White, 1999 citing Parra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In Brazil,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has seven to eight generations per year in different regions (Fundecitrus, 2007). In experiments on macadamia in the laboratory, the life cycle lasted 36 days at 23°C and 80% relative humidity, and it was noted that there may be up to 10 generations per year in favorable environmental conditions (Blanco-Metzler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On P.  volubilis, the average life cycle took 73 days (Leandro, 2012). In part of its range, where fruit of suitable development stages are available year round and the climatic conditions are favourable,</w:t>
      </w:r>
      <w:r>
        <w:rPr>
          <w:rFonts w:ascii="Calibri" w:hAnsi="Calibri" w:eastAsia="Calibri" w:cs="Calibri"/>
          <w:i/>
          <w:iCs/>
          <w:color w:val="000000"/>
          <w:sz w:val="22"/>
          <w:szCs w:val="22"/>
        </w:rPr>
        <w:t xml:space="preserve"> G. aurantianum</w:t>
      </w:r>
      <w:r>
        <w:rPr>
          <w:rFonts w:ascii="Calibri" w:hAnsi="Calibri" w:eastAsia="Calibri" w:cs="Calibri"/>
          <w:color w:val="000000"/>
          <w:sz w:val="22"/>
          <w:szCs w:val="22"/>
        </w:rPr>
        <w:t xml:space="preserve"> is present in the crops year round, for example in Citrusgrowing regions of Brazil (Parra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in macadamia crops in Guatemala (Primo Miranda, 2003 citing Reyna, 1992) and in </w:t>
      </w:r>
      <w:r>
        <w:rPr>
          <w:rFonts w:ascii="Calibri" w:hAnsi="Calibri" w:eastAsia="Calibri" w:cs="Calibri"/>
          <w:i/>
          <w:iCs/>
          <w:color w:val="000000"/>
          <w:sz w:val="22"/>
          <w:szCs w:val="22"/>
        </w:rPr>
        <w:t xml:space="preserve">P. volubilis</w:t>
      </w:r>
      <w:r>
        <w:rPr>
          <w:rFonts w:ascii="Calibri" w:hAnsi="Calibri" w:eastAsia="Calibri" w:cs="Calibri"/>
          <w:color w:val="000000"/>
          <w:sz w:val="22"/>
          <w:szCs w:val="22"/>
        </w:rPr>
        <w:t xml:space="preserve"> crops in Peru (Leandro, 2012).</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mostly active at dusk and at dawn (BlancoMetzler, 1994; Bento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Parra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Leandro, 2012). Mating and egg-laying occur a few days after emergence. In laboratory experiments on Citrus, an average pre-oviposition period of 2–3 days was observed and egg laying lasted for 11 days on average (Parra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citing Garcia, 1998). The reported fecundity of females varies widely, from 2–74 eggs per female in experiments on macadamia (Blanco-Metzler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to 140–200 eggs per female in experiments on artificial diet (Garcia &amp; Parra, 1999).</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normally oviposited on the surface of the fruit (Blanco-Metzler, 1994; Parra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Leandro, 2012). 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females usually lay only one egg per fruit (Vianna, 2015; Arthur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At low pest population levels, ripe fruits are preferred, while different maturation stages including green fruit may be attacked at high population levels (Parra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Green fruits may also be attacked in early infestations (Fundecitrus, 2007). On macadamia, eggs are laid individually on the surface of nuts and females prefer immature nuts (with soft shells). The majority of infested nuts have one or two eggs laid on them, but up to eight eggs per nut have been recorded. Larvae are mostly found singly, but when the pest is abundant, it is possible to find up to three or four larvae in a nut, usually at different instar stages (Blanco-Metzler, 1994). On </w:t>
      </w:r>
      <w:r>
        <w:rPr>
          <w:rFonts w:ascii="Calibri" w:hAnsi="Calibri" w:eastAsia="Calibri" w:cs="Calibri"/>
          <w:i/>
          <w:iCs/>
          <w:color w:val="000000"/>
          <w:sz w:val="22"/>
          <w:szCs w:val="22"/>
        </w:rPr>
        <w:t xml:space="preserve">P. volubilis,</w:t>
      </w:r>
      <w:r>
        <w:rPr>
          <w:rFonts w:ascii="Calibri" w:hAnsi="Calibri" w:eastAsia="Calibri" w:cs="Calibri"/>
          <w:color w:val="000000"/>
          <w:sz w:val="22"/>
          <w:szCs w:val="22"/>
        </w:rPr>
        <w:t xml:space="preserve"> there was only one larva per fruit in 75% of infested fruit, and two or three larvae in the remaining 25% (Leandro, 2012). Finally, on </w:t>
      </w:r>
      <w:r>
        <w:rPr>
          <w:rFonts w:ascii="Calibri" w:hAnsi="Calibri" w:eastAsia="Calibri" w:cs="Calibri"/>
          <w:i/>
          <w:iCs/>
          <w:color w:val="000000"/>
          <w:sz w:val="22"/>
          <w:szCs w:val="22"/>
        </w:rPr>
        <w:t xml:space="preserve">T. cacao,</w:t>
      </w:r>
      <w:r>
        <w:rPr>
          <w:rFonts w:ascii="Calibri" w:hAnsi="Calibri" w:eastAsia="Calibri" w:cs="Calibri"/>
          <w:color w:val="000000"/>
          <w:sz w:val="22"/>
          <w:szCs w:val="22"/>
        </w:rPr>
        <w:t xml:space="preserve"> the pest mainly attacks fruits when they start changing colour to ripe fruit, but green fruits are also attacked; there may be over 20 entry holes per fruit (Nakayama, 2018).</w:t>
      </w:r>
    </w:p>
    <w:p>
      <w:pPr>
        <w:widowControl w:val="on"/>
        <w:pBdr/>
        <w:spacing w:before="220" w:after="220" w:line="240" w:lineRule="auto"/>
        <w:ind w:left="0" w:right="0"/>
        <w:jc w:val="both"/>
      </w:pPr>
      <w:r>
        <w:rPr>
          <w:rFonts w:ascii="Calibri" w:hAnsi="Calibri" w:eastAsia="Calibri" w:cs="Calibri"/>
          <w:color w:val="000000"/>
          <w:sz w:val="22"/>
          <w:szCs w:val="22"/>
        </w:rPr>
        <w:t xml:space="preserve">Following hatching, larvae enter the fruit within a few hours (Parra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citing Carvalho, 2003). 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within 2–3 days of entry, excrement appears on the rind of the fruit at the entrance hole (Vianna, 2015). On macadamia, larvae feed mainly on the husk, but if the shell has not hardened they tunnel into the kernel (Blanco-Metzler, 1994). In most hosts, larvae remain in the fruit they first enter, but on </w:t>
      </w:r>
      <w:r>
        <w:rPr>
          <w:rFonts w:ascii="Calibri" w:hAnsi="Calibri" w:eastAsia="Calibri" w:cs="Calibri"/>
          <w:i/>
          <w:iCs/>
          <w:color w:val="000000"/>
          <w:sz w:val="22"/>
          <w:szCs w:val="22"/>
        </w:rPr>
        <w:t xml:space="preserve">Byrsonima crassifolia </w:t>
      </w:r>
      <w:r>
        <w:rPr>
          <w:rFonts w:ascii="Calibri" w:hAnsi="Calibri" w:eastAsia="Calibri" w:cs="Calibri"/>
          <w:color w:val="000000"/>
          <w:sz w:val="22"/>
          <w:szCs w:val="22"/>
        </w:rPr>
        <w:t xml:space="preserve">they are reported to move to nearby fruit (Gomez Orellana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probably because there are insufficient resources in one fruit (small fruit with little flesh; EPPO, 2020).</w:t>
      </w:r>
    </w:p>
    <w:p>
      <w:pPr>
        <w:widowControl w:val="on"/>
        <w:pBdr/>
        <w:spacing w:before="220" w:after="220" w:line="240" w:lineRule="auto"/>
        <w:ind w:left="0" w:right="0"/>
        <w:jc w:val="both"/>
      </w:pPr>
      <w:r>
        <w:rPr>
          <w:rFonts w:ascii="Calibri" w:hAnsi="Calibri" w:eastAsia="Calibri" w:cs="Calibri"/>
          <w:color w:val="000000"/>
          <w:sz w:val="22"/>
          <w:szCs w:val="22"/>
        </w:rPr>
        <w:t xml:space="preserve">In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crops, pupation occurs mostly in the soil at the base of the plant, and occasionally in other places such as in the fruit (White &amp; Tuck, 1993; Parra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Fundecitrus, 2007). Larvae produce a thread on which they descend to the ground (Fundecitrus, 2007). In laboratory experiments,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was found to pupate between 0 and 1.5 cm depth, in both humid and dry substrates (Bento, 2008). On macadamia, pupae are mostly found in the nuts or in a cocoon spun by larvae between several nuts in a cluster (Blanco-Metzler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Blanco-Metzler, 1994).</w:t>
      </w:r>
    </w:p>
    <w:p>
      <w:pPr>
        <w:widowControl w:val="on"/>
        <w:pBdr/>
        <w:spacing w:before="220" w:after="220" w:line="240" w:lineRule="auto"/>
        <w:ind w:left="0" w:right="0"/>
        <w:jc w:val="both"/>
      </w:pPr>
      <w:r>
        <w:rPr>
          <w:rFonts w:ascii="Calibri" w:hAnsi="Calibri" w:eastAsia="Calibri" w:cs="Calibri"/>
          <w:color w:val="000000"/>
          <w:sz w:val="22"/>
          <w:szCs w:val="22"/>
        </w:rPr>
        <w:t xml:space="preserve">An average temperature of 30°C is reported as being the most suitable for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development in Brazil (Fundecitrus, 2007). Viability experiments conducted at 18–32°C are summarized in Parra (2016, based on Garcia, 1998), and male abundance at different temperatures in Reis Jr.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 A relative humidity of 30–50% decreases the longevity and oviposition capacity of adults (Gómez Torres, 2005 citing Garcia 1998; Leite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2005). In dry seasons, there may be a high abundance of adults (i.e. males trapped) but no damage observed on fruit because the oviposition capacity is reduced at relative humidities below 50% (Fundecitrus,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Signs and 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Signs and symptoms of infestation are on fruit. At early stages of infestation, symptoms are not readily visible externally. In particular, eggs are small and there is often only one egg per fruit. The entry hole is also minute (ca. 1.5  mm on </w:t>
      </w:r>
      <w:r>
        <w:rPr>
          <w:rFonts w:ascii="Calibri" w:hAnsi="Calibri" w:eastAsia="Calibri" w:cs="Calibri"/>
          <w:i/>
          <w:iCs/>
          <w:color w:val="000000"/>
          <w:sz w:val="22"/>
          <w:szCs w:val="22"/>
        </w:rPr>
        <w:t xml:space="preserve">Melicoccus bijugatus</w:t>
      </w:r>
      <w:r>
        <w:rPr>
          <w:rFonts w:ascii="Calibri" w:hAnsi="Calibri" w:eastAsia="Calibri" w:cs="Calibri"/>
          <w:color w:val="000000"/>
          <w:sz w:val="22"/>
          <w:szCs w:val="22"/>
        </w:rPr>
        <w:t xml:space="preserve">; Cabrera-Asencio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Symptoms become visible at later stages of infestation. 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infestation may cause abnormal coloration, necrotic or bleached areas at the entry hole and fruit fall (White &amp; Tuck, 1993; Fundecitrus, 2007). Discoloration of fruit and rot are reported in several hosts such as </w:t>
      </w:r>
      <w:r>
        <w:rPr>
          <w:rFonts w:ascii="Calibri" w:hAnsi="Calibri" w:eastAsia="Calibri" w:cs="Calibri"/>
          <w:i/>
          <w:iCs/>
          <w:color w:val="000000"/>
          <w:sz w:val="22"/>
          <w:szCs w:val="22"/>
        </w:rPr>
        <w:t xml:space="preserve">P.  volubilis, M.  bijugatus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T.  cacao</w:t>
      </w:r>
      <w:r>
        <w:rPr>
          <w:rFonts w:ascii="Calibri" w:hAnsi="Calibri" w:eastAsia="Calibri" w:cs="Calibri"/>
          <w:color w:val="000000"/>
          <w:sz w:val="22"/>
          <w:szCs w:val="22"/>
        </w:rPr>
        <w:t xml:space="preserve"> (Leandro, 2012; Cabrera-Asencio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Nakayama, 2018). Frass may be seen extruding from the hole and sticking to the fruit surface (Fundecitrus, 2007, 2019). On macadamia, the entry hole may be enlarged and frass may emerge from the entry hole. If pupae are in the nuts, close to adult emergence, one-third of their body protrudes from the nut (Blanco-Metzler, 1994).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Eggs of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are ca. 1.2 mm long, flattened and circular to ovoid in shape, pale white, darkening to reddish-brown as development occurs (Blanco-Metzler, 1994).</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of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are eruciform, 5  mm long (newly hatched larvae) to ca. 15–19 mm long (mature larvae). The body is pale yellow and the head pale yellow to pale orange with a red-brown patch (Adamski &amp; Brown, 2001; Yamamoto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citing Prates &amp; Pinto, 1988, 1991). There are four to five larval instars (Blanco-Metzler, 1994; Gómez Torres, 2005 citing Garcia, 1998). Larvae of </w:t>
      </w:r>
      <w:r>
        <w:rPr>
          <w:rFonts w:ascii="Calibri" w:hAnsi="Calibri" w:eastAsia="Calibri" w:cs="Calibri"/>
          <w:i/>
          <w:iCs/>
          <w:color w:val="000000"/>
          <w:sz w:val="22"/>
          <w:szCs w:val="22"/>
        </w:rPr>
        <w:t xml:space="preserve">Gymnandrosoma </w:t>
      </w:r>
      <w:r>
        <w:rPr>
          <w:rFonts w:ascii="Calibri" w:hAnsi="Calibri" w:eastAsia="Calibri" w:cs="Calibri"/>
          <w:color w:val="000000"/>
          <w:sz w:val="22"/>
          <w:szCs w:val="22"/>
        </w:rPr>
        <w:t xml:space="preserve">can be distinguished from those of </w:t>
      </w:r>
      <w:r>
        <w:rPr>
          <w:rFonts w:ascii="Calibri" w:hAnsi="Calibri" w:eastAsia="Calibri" w:cs="Calibri"/>
          <w:i/>
          <w:iCs/>
          <w:color w:val="000000"/>
          <w:sz w:val="22"/>
          <w:szCs w:val="22"/>
        </w:rPr>
        <w:t xml:space="preserve">Ecdytolopha </w:t>
      </w:r>
      <w:r>
        <w:rPr>
          <w:rFonts w:ascii="Calibri" w:hAnsi="Calibri" w:eastAsia="Calibri" w:cs="Calibri"/>
          <w:color w:val="000000"/>
          <w:sz w:val="22"/>
          <w:szCs w:val="22"/>
        </w:rPr>
        <w:t xml:space="preserve">by the distance between various setae (details in Gilligan &amp; Epstein, 2014). A setal map is given in Adamski and Brown (2001). A key to </w:t>
      </w:r>
      <w:r>
        <w:rPr>
          <w:rFonts w:ascii="Calibri" w:hAnsi="Calibri" w:eastAsia="Calibri" w:cs="Calibri"/>
          <w:i/>
          <w:iCs/>
          <w:color w:val="000000"/>
          <w:sz w:val="22"/>
          <w:szCs w:val="22"/>
        </w:rPr>
        <w:t xml:space="preserve">Ecdytolopha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Gymnandrosoma </w:t>
      </w:r>
      <w:r>
        <w:rPr>
          <w:rFonts w:ascii="Calibri" w:hAnsi="Calibri" w:eastAsia="Calibri" w:cs="Calibri"/>
          <w:color w:val="000000"/>
          <w:sz w:val="22"/>
          <w:szCs w:val="22"/>
        </w:rPr>
        <w:t xml:space="preserve">larvae and a description of last instar larvae of</w:t>
      </w:r>
      <w:r>
        <w:rPr>
          <w:rFonts w:ascii="Calibri" w:hAnsi="Calibri" w:eastAsia="Calibri" w:cs="Calibri"/>
          <w:i/>
          <w:iCs/>
          <w:color w:val="000000"/>
          <w:sz w:val="22"/>
          <w:szCs w:val="22"/>
        </w:rPr>
        <w:t xml:space="preserve"> G.  aurantianum</w:t>
      </w:r>
      <w:r>
        <w:rPr>
          <w:rFonts w:ascii="Calibri" w:hAnsi="Calibri" w:eastAsia="Calibri" w:cs="Calibri"/>
          <w:color w:val="000000"/>
          <w:sz w:val="22"/>
          <w:szCs w:val="22"/>
        </w:rPr>
        <w:t xml:space="preserve"> are provided in Adamski and Brown (2001). Brown (2011) provides an online interactive tool to determine if a larvae is a Tortricidae and its possible identity (based on species intercepted in the USA) depending on the host fruit and its geographical origin (</w:t>
      </w:r>
      <w:hyperlink r:id="rId3125668500bc68a67" w:history="1">
        <w:r>
          <w:rPr>
            <w:rFonts w:ascii="Calibri" w:hAnsi="Calibri" w:eastAsia="Calibri" w:cs="Calibri"/>
            <w:color w:val="0000CC"/>
            <w:sz w:val="22"/>
            <w:szCs w:val="22"/>
            <w:u w:val="single"/>
          </w:rPr>
          <w:t xml:space="preserve">http://idtools.org/id/leps/tortai/keys/TortAILarv ae.html</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Pupae</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are fusiform, 9–12  mm long and 2.5–3  mm wide, rounded at both extremities (Adamski &amp; Brown, 2001). Pupae are first pale yellow, becoming brown (Blanco-Metzler, 1994). Pupae of different species of </w:t>
      </w:r>
      <w:r>
        <w:rPr>
          <w:rFonts w:ascii="Calibri" w:hAnsi="Calibri" w:eastAsia="Calibri" w:cs="Calibri"/>
          <w:i/>
          <w:iCs/>
          <w:color w:val="000000"/>
          <w:sz w:val="22"/>
          <w:szCs w:val="22"/>
        </w:rPr>
        <w:t xml:space="preserve">Gymnandrosoma </w:t>
      </w:r>
      <w:r>
        <w:rPr>
          <w:rFonts w:ascii="Calibri" w:hAnsi="Calibri" w:eastAsia="Calibri" w:cs="Calibri"/>
          <w:color w:val="000000"/>
          <w:sz w:val="22"/>
          <w:szCs w:val="22"/>
        </w:rPr>
        <w:t xml:space="preserve">cannot be distinguished (Adamski &amp; Brown, 2001).</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ca. 10  mm long (Gomez Orellana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with a wingspan of ca. 11–18 mm (White &amp; Tuck, 1993; Molet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They are brown with indistinct reddish-brown and black markings. Most individuals  have a conspicuous white dot on the distal one-third of the forewing (Gilligan &amp; Epstein, 2014). Males can be distinguished from other species of </w:t>
      </w:r>
      <w:r>
        <w:rPr>
          <w:rFonts w:ascii="Calibri" w:hAnsi="Calibri" w:eastAsia="Calibri" w:cs="Calibri"/>
          <w:i/>
          <w:iCs/>
          <w:color w:val="000000"/>
          <w:sz w:val="22"/>
          <w:szCs w:val="22"/>
        </w:rPr>
        <w:t xml:space="preserve">Gymnandrosoma </w:t>
      </w:r>
      <w:r>
        <w:rPr>
          <w:rFonts w:ascii="Calibri" w:hAnsi="Calibri" w:eastAsia="Calibri" w:cs="Calibri"/>
          <w:color w:val="000000"/>
          <w:sz w:val="22"/>
          <w:szCs w:val="22"/>
        </w:rPr>
        <w:t xml:space="preserve">through external characteristics (on antenna and tibia), while females need to be dissected (Gilligan &amp; Epstein, 2014). A key to </w:t>
      </w:r>
      <w:r>
        <w:rPr>
          <w:rFonts w:ascii="Calibri" w:hAnsi="Calibri" w:eastAsia="Calibri" w:cs="Calibri"/>
          <w:i/>
          <w:iCs/>
          <w:color w:val="000000"/>
          <w:sz w:val="22"/>
          <w:szCs w:val="22"/>
        </w:rPr>
        <w:t xml:space="preserve">Ecdytolopha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Gymnandrosoma </w:t>
      </w:r>
      <w:r>
        <w:rPr>
          <w:rFonts w:ascii="Calibri" w:hAnsi="Calibri" w:eastAsia="Calibri" w:cs="Calibri"/>
          <w:color w:val="000000"/>
          <w:sz w:val="22"/>
          <w:szCs w:val="22"/>
        </w:rPr>
        <w:t xml:space="preserve">adults and a description of adults of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are provided in Adamski and Brown (2001). Illustrated nomenclature of adult genitalia can be found in Adamski and Brown (2001) and Gilligan and Epstein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sex pheromone of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has been identified and pheromone traps have been commercially available in Brazil since 2002 (Leal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2001; Bento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Details on monitoring using pheromone traps are provided in the EPPO pest risk analysis (EPPO, 2020). The presence of adults is otherwise not easy to detect visually in the field (small size, remain inactive on the plant during the day, mimetic on branches; Blanco-Metzler, 1994; Parra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on fruit are difficult to detect at early stages of infestation and low levels of infestation (USDA, 2003). On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and other fruit, frass extruding from the entry hole is a good indicator of the presence of the pest (Batista Pereira, 2008; Vianna, 2015).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has been detected in consignments of fruit in trade and in fruits carried by passengers. Symptoms on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fruits are quite similar to those of fruit flies; however, the main difference is that the frass of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hardens in the rind, while the site of damage by fruit flies is soft and rotted (Fundecitrus, 2007, 2019).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Gymnandrosoma aurantianum</w:t>
      </w:r>
      <w:r>
        <w:rPr>
          <w:rFonts w:ascii="Calibri" w:hAnsi="Calibri" w:eastAsia="Calibri" w:cs="Calibri"/>
          <w:color w:val="000000"/>
          <w:sz w:val="22"/>
          <w:szCs w:val="22"/>
        </w:rPr>
        <w:t xml:space="preserve"> can be identified based on the morphology of adults and larvae (Adamski &amp; Brown, 2001) and taxonomic expertise on the family Tortricidae is needed to confirm identification (Gilligan &amp; Epstein, 2014). The pest is very similar to other species in </w:t>
      </w:r>
      <w:r>
        <w:rPr>
          <w:rFonts w:ascii="Calibri" w:hAnsi="Calibri" w:eastAsia="Calibri" w:cs="Calibri"/>
          <w:i/>
          <w:iCs/>
          <w:color w:val="000000"/>
          <w:sz w:val="22"/>
          <w:szCs w:val="22"/>
        </w:rPr>
        <w:t xml:space="preserve">Ecdytolopha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Gymnandrosoma</w:t>
      </w:r>
      <w:r>
        <w:rPr>
          <w:rFonts w:ascii="Calibri" w:hAnsi="Calibri" w:eastAsia="Calibri" w:cs="Calibri"/>
          <w:color w:val="000000"/>
          <w:sz w:val="22"/>
          <w:szCs w:val="22"/>
        </w:rPr>
        <w:t xml:space="preserve">, and there have been cases of misidentification with other </w:t>
      </w:r>
      <w:r>
        <w:rPr>
          <w:rFonts w:ascii="Calibri" w:hAnsi="Calibri" w:eastAsia="Calibri" w:cs="Calibri"/>
          <w:i/>
          <w:iCs/>
          <w:color w:val="000000"/>
          <w:sz w:val="22"/>
          <w:szCs w:val="22"/>
        </w:rPr>
        <w:t xml:space="preserve">Gymnandrosoma </w:t>
      </w:r>
      <w:r>
        <w:rPr>
          <w:rFonts w:ascii="Calibri" w:hAnsi="Calibri" w:eastAsia="Calibri" w:cs="Calibri"/>
          <w:color w:val="000000"/>
          <w:sz w:val="22"/>
          <w:szCs w:val="22"/>
        </w:rPr>
        <w:t xml:space="preserve">species or other Tortricidae (Adamski &amp; Brown, 2001).</w:t>
      </w:r>
    </w:p>
    <w:p>
      <w:pPr>
        <w:widowControl w:val="on"/>
        <w:pBdr/>
        <w:spacing w:before="220" w:after="220" w:line="240" w:lineRule="auto"/>
        <w:ind w:left="0" w:right="0"/>
        <w:jc w:val="both"/>
      </w:pPr>
      <w:r>
        <w:rPr>
          <w:rFonts w:ascii="Calibri" w:hAnsi="Calibri" w:eastAsia="Calibri" w:cs="Calibri"/>
          <w:color w:val="000000"/>
          <w:sz w:val="22"/>
          <w:szCs w:val="22"/>
        </w:rPr>
        <w:t xml:space="preserve">Regarding molecular identification, barcodes are available for several specimens from various countries (</w:t>
      </w:r>
      <w:hyperlink r:id="rId8282668500bc68e4f" w:history="1">
        <w:r>
          <w:rPr>
            <w:rFonts w:ascii="Calibri" w:hAnsi="Calibri" w:eastAsia="Calibri" w:cs="Calibri"/>
            <w:color w:val="0000CC"/>
            <w:sz w:val="22"/>
            <w:szCs w:val="22"/>
            <w:u w:val="single"/>
          </w:rPr>
          <w:t xml:space="preserve">http://v4.boldsystems.org/</w:t>
        </w:r>
      </w:hyperlink>
      <w:r>
        <w:rPr>
          <w:rFonts w:ascii="Calibri" w:hAnsi="Calibri" w:eastAsia="Calibri" w:cs="Calibri"/>
          <w:color w:val="000000"/>
          <w:sz w:val="22"/>
          <w:szCs w:val="22"/>
        </w:rPr>
        <w:t xml:space="preserve">). There are also sequences from several specimens of other </w:t>
      </w:r>
      <w:r>
        <w:rPr>
          <w:rFonts w:ascii="Calibri" w:hAnsi="Calibri" w:eastAsia="Calibri" w:cs="Calibri"/>
          <w:i/>
          <w:iCs/>
          <w:color w:val="000000"/>
          <w:sz w:val="22"/>
          <w:szCs w:val="22"/>
        </w:rPr>
        <w:t xml:space="preserve">Ecdytolopha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Gymnandrosoma </w:t>
      </w:r>
      <w:r>
        <w:rPr>
          <w:rFonts w:ascii="Calibri" w:hAnsi="Calibri" w:eastAsia="Calibri" w:cs="Calibri"/>
          <w:color w:val="000000"/>
          <w:sz w:val="22"/>
          <w:szCs w:val="22"/>
        </w:rPr>
        <w:t xml:space="preserve">species in GenBank. However, it is not clear if the data available would be sufficient for a reliable molecular identification.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fruit, is the most likely pathway for spread of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either in trade or in passenger luggage.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is known to be mostly associated with crops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macadamia and </w:t>
      </w:r>
      <w:r>
        <w:rPr>
          <w:rFonts w:ascii="Calibri" w:hAnsi="Calibri" w:eastAsia="Calibri" w:cs="Calibri"/>
          <w:i/>
          <w:iCs/>
          <w:color w:val="000000"/>
          <w:sz w:val="22"/>
          <w:szCs w:val="22"/>
        </w:rPr>
        <w:t xml:space="preserve">T.  cacao</w:t>
      </w:r>
      <w:r>
        <w:rPr>
          <w:rFonts w:ascii="Calibri" w:hAnsi="Calibri" w:eastAsia="Calibri" w:cs="Calibri"/>
          <w:color w:val="000000"/>
          <w:sz w:val="22"/>
          <w:szCs w:val="22"/>
        </w:rPr>
        <w:t xml:space="preserve"> depending on the origin of the fruit. However, it has been intercepted in a wider range of fruit, such as </w:t>
      </w:r>
      <w:r>
        <w:rPr>
          <w:rFonts w:ascii="Calibri" w:hAnsi="Calibri" w:eastAsia="Calibri" w:cs="Calibri"/>
          <w:i/>
          <w:iCs/>
          <w:color w:val="000000"/>
          <w:sz w:val="22"/>
          <w:szCs w:val="22"/>
        </w:rPr>
        <w:t xml:space="preserve">Psidium guajava, B.  crassifolia, Punica granatum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bijugatus</w:t>
      </w:r>
      <w:r>
        <w:rPr>
          <w:rFonts w:ascii="Calibri" w:hAnsi="Calibri" w:eastAsia="Calibri" w:cs="Calibri"/>
          <w:color w:val="000000"/>
          <w:sz w:val="22"/>
          <w:szCs w:val="22"/>
        </w:rPr>
        <w:t xml:space="preserve"> (for exhaustive lists, see EPPO, 2020). In trade, packaging associated with fruit may carry pupae if larvae pupate during transport or storage. It is worth noting that association with nuts of the major host macadamia is very unlikely in trade, because macadamia nuts are normally commercialized after processing, and trading macadamia nuts fresh with husks is not a known practice (EPPO, 2020).</w:t>
      </w:r>
    </w:p>
    <w:p>
      <w:pPr>
        <w:widowControl w:val="on"/>
        <w:pBdr/>
        <w:spacing w:before="220" w:after="220" w:line="240" w:lineRule="auto"/>
        <w:ind w:left="0" w:right="0"/>
        <w:jc w:val="both"/>
      </w:pPr>
      <w:r>
        <w:rPr>
          <w:rFonts w:ascii="Calibri" w:hAnsi="Calibri" w:eastAsia="Calibri" w:cs="Calibri"/>
          <w:color w:val="000000"/>
          <w:sz w:val="22"/>
          <w:szCs w:val="22"/>
        </w:rPr>
        <w:t xml:space="preserve">Traded host fruit are imported for consumption or processing, and transfer to a host is generally unlikely, because the pest will be destroyed during processing or damaged fruit will be identified and discarded by processors, retailers or the final consumer in enclosed conditions. However, the pest may be able to transfer to a suitable host where fruit waste from processing or damaged fruit from repacking is discarded in large quantities in the open, close to orchards. This may happen where imported fruit is stored or repacked close to production facilities. Although fruit carried by passengers may contain larvae, transfer to a host would be difficult (EPPO, 2020).</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PRA assessed the likelihood of entry to the EPPO region on host plants for planting as low. Eggs and larvae may be present on the plant only if there are fruit, which is unlikely for young plants traded internationally, and pupae may be present in the soil or growing medium only if the plant had already borne fruit. Any phytosanitary requirements commonly made regarding dormancy, sanitation or replacement of soil or growing medium associated with plants, and the absence of fruit, would lower the likelihood of association of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Nevertheless, plants for planting may contribute to spread within the EPPO region once introduced, as they may not be subject to similar requirements and, if a nursery producing plants for planting with fruit was infested, there may be many larvae in fruit, or pupae in the soil or growing medium. There are no detailed data on the dispersal capacity of adults, but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is reported to be a poor flier with limited flight activity (Batista Pereira, 2008; Blanco-Metzler, 1994 citing Chamberlain, 1989). If the pest is introduced in the EPPO region, flight may contribute to local spread from orchard to orchard. In part of the EPPO region (especially the Mediterranean area), there is a widespread presence of host fruit trees such as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peach and tropical hosts, which could facilitate such spread.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Direct damage is caused by larvae feeding in the fruit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Fundecitrus, 2007; White &amp; Tuck, 1993; </w:t>
      </w:r>
      <w:r>
        <w:rPr>
          <w:rFonts w:ascii="Calibri" w:hAnsi="Calibri" w:eastAsia="Calibri" w:cs="Calibri"/>
          <w:i/>
          <w:iCs/>
          <w:color w:val="000000"/>
          <w:sz w:val="22"/>
          <w:szCs w:val="22"/>
        </w:rPr>
        <w:t xml:space="preserve">P.  volubilis</w:t>
      </w:r>
      <w:r>
        <w:rPr>
          <w:rFonts w:ascii="Calibri" w:hAnsi="Calibri" w:eastAsia="Calibri" w:cs="Calibri"/>
          <w:color w:val="000000"/>
          <w:sz w:val="22"/>
          <w:szCs w:val="22"/>
        </w:rPr>
        <w:t xml:space="preserve">, Leandro, 2012; </w:t>
      </w:r>
      <w:r>
        <w:rPr>
          <w:rFonts w:ascii="Calibri" w:hAnsi="Calibri" w:eastAsia="Calibri" w:cs="Calibri"/>
          <w:i/>
          <w:iCs/>
          <w:color w:val="000000"/>
          <w:sz w:val="22"/>
          <w:szCs w:val="22"/>
        </w:rPr>
        <w:t xml:space="preserve">M. bijugatus</w:t>
      </w:r>
      <w:r>
        <w:rPr>
          <w:rFonts w:ascii="Calibri" w:hAnsi="Calibri" w:eastAsia="Calibri" w:cs="Calibri"/>
          <w:color w:val="000000"/>
          <w:sz w:val="22"/>
          <w:szCs w:val="22"/>
        </w:rPr>
        <w:t xml:space="preserve">, Cabrera-Asencio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Larvae may also reach the seeds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White &amp; Tuck, 1993; </w:t>
      </w:r>
      <w:r>
        <w:rPr>
          <w:rFonts w:ascii="Calibri" w:hAnsi="Calibri" w:eastAsia="Calibri" w:cs="Calibri"/>
          <w:i/>
          <w:iCs/>
          <w:color w:val="000000"/>
          <w:sz w:val="22"/>
          <w:szCs w:val="22"/>
        </w:rPr>
        <w:t xml:space="preserve">P. volubilis</w:t>
      </w:r>
      <w:r>
        <w:rPr>
          <w:rFonts w:ascii="Calibri" w:hAnsi="Calibri" w:eastAsia="Calibri" w:cs="Calibri"/>
          <w:color w:val="000000"/>
          <w:sz w:val="22"/>
          <w:szCs w:val="22"/>
        </w:rPr>
        <w:t xml:space="preserve">, Leandro, 2012; macadamia, Blanco-Metzler, 1994; </w:t>
      </w:r>
      <w:r>
        <w:rPr>
          <w:rFonts w:ascii="Calibri" w:hAnsi="Calibri" w:eastAsia="Calibri" w:cs="Calibri"/>
          <w:i/>
          <w:iCs/>
          <w:color w:val="000000"/>
          <w:sz w:val="22"/>
          <w:szCs w:val="22"/>
        </w:rPr>
        <w:t xml:space="preserve">T.  cacao</w:t>
      </w:r>
      <w:r>
        <w:rPr>
          <w:rFonts w:ascii="Calibri" w:hAnsi="Calibri" w:eastAsia="Calibri" w:cs="Calibri"/>
          <w:color w:val="000000"/>
          <w:sz w:val="22"/>
          <w:szCs w:val="22"/>
        </w:rPr>
        <w:t xml:space="preserve">, Nakayama, 2018). Indirect damage is due to secondary infestation of larval galleries by other organisms, such as fungi, bacteria, beetles, fruit flies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White &amp; Tuck, 1993; Gilligan &amp; Epstein, 2014;</w:t>
      </w:r>
      <w:r>
        <w:rPr>
          <w:rFonts w:ascii="Calibri" w:hAnsi="Calibri" w:eastAsia="Calibri" w:cs="Calibri"/>
          <w:i/>
          <w:iCs/>
          <w:color w:val="000000"/>
          <w:sz w:val="22"/>
          <w:szCs w:val="22"/>
        </w:rPr>
        <w:t xml:space="preserve"> B. crassifolia</w:t>
      </w:r>
      <w:r>
        <w:rPr>
          <w:rFonts w:ascii="Calibri" w:hAnsi="Calibri" w:eastAsia="Calibri" w:cs="Calibri"/>
          <w:color w:val="000000"/>
          <w:sz w:val="22"/>
          <w:szCs w:val="22"/>
        </w:rPr>
        <w:t xml:space="preserve">, Gomez Orellana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macadamia, Primo Miranda, 2003), which cause the fruit or nut to rot or fall prematurely (BlancoMetzler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Fundecitrus, 2007; Cabrera-Asencio</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The type of damage is not documented for all hosts, but is probably similar (damage to fruit flesh and seeds, fruit rot, secondary infestation by other organisms, possibly premature fall). Economic impact of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on fruit production has been reported in Central and South America. For most hosts, once larvae have entered the fruit, it becomes unsuitable for consumption, commercialization and processing (Citrus, Bento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Parra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w:t>
      </w:r>
      <w:r>
        <w:rPr>
          <w:rFonts w:ascii="Calibri" w:hAnsi="Calibri" w:eastAsia="Calibri" w:cs="Calibri"/>
          <w:i/>
          <w:iCs/>
          <w:color w:val="000000"/>
          <w:sz w:val="22"/>
          <w:szCs w:val="22"/>
        </w:rPr>
        <w:t xml:space="preserve">M. bijugatus</w:t>
      </w:r>
      <w:r>
        <w:rPr>
          <w:rFonts w:ascii="Calibri" w:hAnsi="Calibri" w:eastAsia="Calibri" w:cs="Calibri"/>
          <w:color w:val="000000"/>
          <w:sz w:val="22"/>
          <w:szCs w:val="22"/>
        </w:rPr>
        <w:t xml:space="preserve">, Cabrera-Asencio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However, superficial damage does not prevent the use of macadamia fruit (Blanco-Metzler, 1994) or seeds of </w:t>
      </w:r>
      <w:r>
        <w:rPr>
          <w:rFonts w:ascii="Calibri" w:hAnsi="Calibri" w:eastAsia="Calibri" w:cs="Calibri"/>
          <w:i/>
          <w:iCs/>
          <w:color w:val="000000"/>
          <w:sz w:val="22"/>
          <w:szCs w:val="22"/>
        </w:rPr>
        <w:t xml:space="preserve">T. cacao</w:t>
      </w:r>
      <w:r>
        <w:rPr>
          <w:rFonts w:ascii="Calibri" w:hAnsi="Calibri" w:eastAsia="Calibri" w:cs="Calibri"/>
          <w:color w:val="000000"/>
          <w:sz w:val="22"/>
          <w:szCs w:val="22"/>
        </w:rPr>
        <w:t xml:space="preserve"> (Nakayama, 2018). The occurrence of the pest can also have consequences for export (Garcia &amp; Parra, 1999).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is a quarantine pest for several countries, with phytosanitary requirements mostly relating to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or macadamia.</w:t>
      </w:r>
    </w:p>
    <w:p>
      <w:pPr>
        <w:widowControl w:val="on"/>
        <w:pBdr/>
        <w:spacing w:before="220" w:after="220" w:line="240" w:lineRule="auto"/>
        <w:ind w:left="0" w:right="0"/>
        <w:jc w:val="both"/>
      </w:pPr>
      <w:r>
        <w:rPr>
          <w:rFonts w:ascii="Calibri" w:hAnsi="Calibri" w:eastAsia="Calibri" w:cs="Calibri"/>
          <w:color w:val="000000"/>
          <w:sz w:val="22"/>
          <w:szCs w:val="22"/>
        </w:rPr>
        <w:t xml:space="preserve">Economic impact on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production is well documented from Brazil.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was first observed causing damage in São Paulo State in 1915 (Bento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citing Lima, 1927). It remained a minor pest until the end of the 1980s (Parra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and then became a limiting factor to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production. In São Paulo State, damage was estimated at 50  million USD per year during the 1990s and yield losses up to 50% were reported (Anonymous, 2016; Bento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citing Garcia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Following the implementation of a new IPM strategy based on pheromone traps, losses were reduced by on average to 0.6–1 fruit per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plant in São Paulo and Minas Gerais (Bento</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2001, 2004 citing Carvalho, 2003).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has also been reported as a pest 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in Ecuador (Noboa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and there are older records of severe infestations in Argentina at the end of the 1930s (Lima, 1945), and at the beginning of the 1990s in Trinidad (White, 1999). In Uruguay,</w:t>
      </w:r>
      <w:r>
        <w:rPr>
          <w:rFonts w:ascii="Calibri" w:hAnsi="Calibri" w:eastAsia="Calibri" w:cs="Calibri"/>
          <w:i/>
          <w:iCs/>
          <w:color w:val="000000"/>
          <w:sz w:val="22"/>
          <w:szCs w:val="22"/>
        </w:rPr>
        <w:t xml:space="preserve"> G. aurantianum</w:t>
      </w:r>
      <w:r>
        <w:rPr>
          <w:rFonts w:ascii="Calibri" w:hAnsi="Calibri" w:eastAsia="Calibri" w:cs="Calibri"/>
          <w:color w:val="000000"/>
          <w:sz w:val="22"/>
          <w:szCs w:val="22"/>
        </w:rPr>
        <w:t xml:space="preserve"> is mentioned as being occasional and not of potential economic importance (COSAVE-IICA, 1999), with infestations limited to isolated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fruits in domestic groves (USDA, 2012 citing Bentancourt and Scatoni, 2006).</w:t>
      </w:r>
    </w:p>
    <w:p>
      <w:pPr>
        <w:widowControl w:val="on"/>
        <w:pBdr/>
        <w:spacing w:before="220" w:after="220" w:line="240" w:lineRule="auto"/>
        <w:ind w:left="0" w:right="0"/>
        <w:jc w:val="both"/>
      </w:pPr>
      <w:r>
        <w:rPr>
          <w:rFonts w:ascii="Calibri" w:hAnsi="Calibri" w:eastAsia="Calibri" w:cs="Calibri"/>
          <w:color w:val="000000"/>
          <w:sz w:val="22"/>
          <w:szCs w:val="22"/>
        </w:rPr>
        <w:t xml:space="preserve">On macadamia, damage from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(then known as</w:t>
      </w:r>
      <w:r>
        <w:rPr>
          <w:rFonts w:ascii="Calibri" w:hAnsi="Calibri" w:eastAsia="Calibri" w:cs="Calibri"/>
          <w:i/>
          <w:iCs/>
          <w:color w:val="000000"/>
          <w:sz w:val="22"/>
          <w:szCs w:val="22"/>
        </w:rPr>
        <w:t xml:space="preserve"> E. torticornis</w:t>
      </w:r>
      <w:r>
        <w:rPr>
          <w:rFonts w:ascii="Calibri" w:hAnsi="Calibri" w:eastAsia="Calibri" w:cs="Calibri"/>
          <w:color w:val="000000"/>
          <w:sz w:val="22"/>
          <w:szCs w:val="22"/>
        </w:rPr>
        <w:t xml:space="preserve">) in Costa Rica was first observed in 1986 and maximum nut damage progressively increased to reach ca. 40% (Blanco-Metzler, 1994 citing Lara 1987; Blanco-Metzler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citing Blanco-Metzler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Management strategies have reduced the impact of the pest below its economic damage threshold (H. Blanco-Metzler, pers. comm., 2019). Damage on macadamia was also reported in Guatemala (Primo Miranda, 2003), Colombia (García, 2005), Venezuela (Briceño &amp; Sharkey, 2000 citing Arizaleta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1997) and recently in Brazil (Soares de Matos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On </w:t>
      </w:r>
      <w:r>
        <w:rPr>
          <w:rFonts w:ascii="Calibri" w:hAnsi="Calibri" w:eastAsia="Calibri" w:cs="Calibri"/>
          <w:i/>
          <w:iCs/>
          <w:color w:val="000000"/>
          <w:sz w:val="22"/>
          <w:szCs w:val="22"/>
        </w:rPr>
        <w:t xml:space="preserve">Theobroma cacao, G. aurantianum</w:t>
      </w:r>
      <w:r>
        <w:rPr>
          <w:rFonts w:ascii="Calibri" w:hAnsi="Calibri" w:eastAsia="Calibri" w:cs="Calibri"/>
          <w:color w:val="000000"/>
          <w:sz w:val="22"/>
          <w:szCs w:val="22"/>
        </w:rPr>
        <w:t xml:space="preserve"> has been reported as a pest in Venezuela (Delgado Puchi, 2005), Colombia (Muñoz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2018) and recently Brazil (Nakayama, 2018). Economic impact has also been reported on </w:t>
      </w:r>
      <w:r>
        <w:rPr>
          <w:rFonts w:ascii="Calibri" w:hAnsi="Calibri" w:eastAsia="Calibri" w:cs="Calibri"/>
          <w:i/>
          <w:iCs/>
          <w:color w:val="000000"/>
          <w:sz w:val="22"/>
          <w:szCs w:val="22"/>
        </w:rPr>
        <w:t xml:space="preserve">P. volubilis</w:t>
      </w:r>
      <w:r>
        <w:rPr>
          <w:rFonts w:ascii="Calibri" w:hAnsi="Calibri" w:eastAsia="Calibri" w:cs="Calibri"/>
          <w:color w:val="000000"/>
          <w:sz w:val="22"/>
          <w:szCs w:val="22"/>
        </w:rPr>
        <w:t xml:space="preserve"> in Peru (Leandro, 2012). Information on impact is not available from many countries where the pest occurs, and for many hosts. It is possible that in some countries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is not present in commercial fruit production, and only attacks native hosts or fruit hosts in other situations (native environment, gardens, parks, urban areas, etc.).</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methods are well documented for Citrus crops in Brazil. In the 1980s, control relied on the application of pesticides when attacked fruits were observed, which did not control the pest and eliminated natural enemies, thereby increasing losses (Parra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At the beginning of the 2000s, the sex pheromone was identified, and an alternative strategy was developed, based on the application of microbial or chemical sprays when a threshold of males in pheromone traps is reached (Parra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The total volume of insecticides sprayed in the monitored areas decreased by at least 50% (Parra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2004). Parasitoids and predators of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are documented (Briceño &amp; Sharkey, 2000; Gómez Torres, 2005; Leite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Batista Pereira, 2008; Blanco-Metzler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and natural enemies have a role in controlling the pest in the field. However, natural enemies are apparently not being actively released in the framework of biological control strategies. Cultural control is used on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in Brazil in addition to chemical control, and is effective on its own in macadamia crops in Costa Rica.</w:t>
      </w:r>
    </w:p>
    <w:p>
      <w:pPr>
        <w:widowControl w:val="on"/>
        <w:pBdr/>
        <w:spacing w:before="220" w:after="220" w:line="240" w:lineRule="auto"/>
        <w:ind w:left="0" w:right="0"/>
        <w:jc w:val="both"/>
      </w:pPr>
      <w:r>
        <w:rPr>
          <w:rFonts w:ascii="Calibri" w:hAnsi="Calibri" w:eastAsia="Calibri" w:cs="Calibri"/>
          <w:color w:val="000000"/>
          <w:sz w:val="22"/>
          <w:szCs w:val="22"/>
        </w:rPr>
        <w:t xml:space="preserve">Cultural measures include collecting and destroying infested fruit on the ground and on trees (Fundecitrus, 2019), early harvest in case of attack to avoid the build-up of populations (Fundecitrus, 2007, 2019) and avoiding planting fruit-bearing hosts within a radius of 400 m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crops (Batista Pereira, 2008). In macadamia crops, control relies on monitoring, replacement of susceptible clones and more frequent harvest to avoid completion of the life cycle. Finally, macadamia husks are traditionally disposed of on the ground in the orchards after nut processing, but this favours infestations and should be avoided (Blanco-Metzler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is a main host of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and has a high economic importance in the EPPO region. The EPPO PRA determined that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may pose a risk in areas where host fruits are present all year round, where climatic conditions are suitable and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is grown (i.e. on the Mediterranean coast, southern Portugal and the Atlantic coast of Morocco, as well as part of northern Italy, the Balkans and the Black sea area) (EPPO, 2020). In such areas, economic impact in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crops may be initially as high as that seen in Brazil, depending on how early the pest is detected, but an IPM programme using pheromone traps could be developed based on that in Brazil. Many hosts, such as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and to a lesser extent tropical fruit hosts (such as </w:t>
      </w:r>
      <w:r>
        <w:rPr>
          <w:rFonts w:ascii="Calibri" w:hAnsi="Calibri" w:eastAsia="Calibri" w:cs="Calibri"/>
          <w:i/>
          <w:iCs/>
          <w:color w:val="000000"/>
          <w:sz w:val="22"/>
          <w:szCs w:val="22"/>
        </w:rPr>
        <w:t xml:space="preserve">Annona cherimola, Averrhoa carambola, Macadamia integrifolia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are present in the EPPO region, which may increase economic impact and integrated strategies may need to be adapted.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has attacked new hosts in the Americas, and may also pass on to new hosts in the EPPO region. Finally, the presence of this pest in the EPPO region may affect export markets (EPPO,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PRA (EPPO, 2020) recommended phytosanitary measures for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fruit, with options such as pestfree area, pest-free place of production and pest-free production site. In addition, a systems approach was recommended, combining visual inspection in the field (with cutting of representative samples of fallen fruit), treatment of the crop based on monitoring with pheromone traps, visual examination at harvest and during handling/ packing of the consignment and visual inspection at export (with cutting of representative samples of fruit). In addition, only new or cleaned packaging should be used to avoid the presence of pupae. Such measures can also be considered for other host fruit if necessary. It is worth noting that no treatment can currently be recommended for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fruit or other host fruit. In particular, no cold treatment schedule is available against this pest. As for many fruit pests, the separation of fruit imports and production is important (see Pathways for movement). Measures such as awareness and checks may be applied to travellers’ luggage to prevent entry with fruit, and to a lesser extent with plants for planting. The pest is less likely to enter on host plants for planting in trade and measures were not recommended.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Adamski D &amp; Brown JW (2001) Systematic revision of the </w:t>
      </w:r>
      <w:r>
        <w:rPr>
          <w:rFonts w:ascii="Calibri" w:hAnsi="Calibri" w:eastAsia="Calibri" w:cs="Calibri"/>
          <w:i/>
          <w:iCs/>
          <w:color w:val="000000"/>
          <w:sz w:val="22"/>
          <w:szCs w:val="22"/>
        </w:rPr>
        <w:t xml:space="preserve">Ecdytolopha </w:t>
      </w:r>
      <w:r>
        <w:rPr>
          <w:rFonts w:ascii="Calibri" w:hAnsi="Calibri" w:eastAsia="Calibri" w:cs="Calibri"/>
          <w:color w:val="000000"/>
          <w:sz w:val="22"/>
          <w:szCs w:val="22"/>
        </w:rPr>
        <w:t xml:space="preserve">group of genera (Lepidoptera: Tortricidae: Grapholitini) in the New World. </w:t>
      </w:r>
      <w:r>
        <w:rPr>
          <w:rFonts w:ascii="Calibri" w:hAnsi="Calibri" w:eastAsia="Calibri" w:cs="Calibri"/>
          <w:i/>
          <w:iCs/>
          <w:color w:val="000000"/>
          <w:sz w:val="22"/>
          <w:szCs w:val="22"/>
        </w:rPr>
        <w:t xml:space="preserve">Entomologica Scandinavica Supplement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86.</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(2016) Armadilha de Bicho Furão Evitou Perda de US$ 1 BI. </w:t>
      </w:r>
      <w:r>
        <w:rPr>
          <w:rFonts w:ascii="Calibri" w:hAnsi="Calibri" w:eastAsia="Calibri" w:cs="Calibri"/>
          <w:i/>
          <w:iCs/>
          <w:color w:val="000000"/>
          <w:sz w:val="22"/>
          <w:szCs w:val="22"/>
        </w:rPr>
        <w:t xml:space="preserve">Citricultor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11.</w:t>
      </w:r>
    </w:p>
    <w:p>
      <w:pPr>
        <w:widowControl w:val="on"/>
        <w:pBdr/>
        <w:spacing w:before="220" w:after="220" w:line="240" w:lineRule="auto"/>
        <w:ind w:left="0" w:right="0"/>
        <w:jc w:val="left"/>
      </w:pPr>
      <w:r>
        <w:rPr>
          <w:rFonts w:ascii="Calibri" w:hAnsi="Calibri" w:eastAsia="Calibri" w:cs="Calibri"/>
          <w:color w:val="000000"/>
          <w:sz w:val="22"/>
          <w:szCs w:val="22"/>
        </w:rPr>
        <w:t xml:space="preserve">Arthur V, Arthur PB &amp; Machi AR (2016) Irradiation of </w:t>
      </w:r>
      <w:r>
        <w:rPr>
          <w:rFonts w:ascii="Calibri" w:hAnsi="Calibri" w:eastAsia="Calibri" w:cs="Calibri"/>
          <w:i/>
          <w:iCs/>
          <w:color w:val="000000"/>
          <w:sz w:val="22"/>
          <w:szCs w:val="22"/>
        </w:rPr>
        <w:t xml:space="preserve">Ecdytolopha aurantiana </w:t>
      </w:r>
      <w:r>
        <w:rPr>
          <w:rFonts w:ascii="Calibri" w:hAnsi="Calibri" w:eastAsia="Calibri" w:cs="Calibri"/>
          <w:color w:val="000000"/>
          <w:sz w:val="22"/>
          <w:szCs w:val="22"/>
        </w:rPr>
        <w:t xml:space="preserve">(Lepidoptera: Tortricidae) pupae in oxygen requires a lower dose to strongly reduce adult emergence and prevent reproduction than irradiation in air. </w:t>
      </w:r>
      <w:r>
        <w:rPr>
          <w:rFonts w:ascii="Calibri" w:hAnsi="Calibri" w:eastAsia="Calibri" w:cs="Calibri"/>
          <w:i/>
          <w:iCs/>
          <w:color w:val="000000"/>
          <w:sz w:val="22"/>
          <w:szCs w:val="22"/>
        </w:rPr>
        <w:t xml:space="preserve">Florida Entomologist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38–42.</w:t>
      </w:r>
    </w:p>
    <w:p>
      <w:pPr>
        <w:widowControl w:val="on"/>
        <w:pBdr/>
        <w:spacing w:before="220" w:after="220" w:line="240" w:lineRule="auto"/>
        <w:ind w:left="0" w:right="0"/>
        <w:jc w:val="left"/>
      </w:pPr>
      <w:r>
        <w:rPr>
          <w:rFonts w:ascii="Calibri" w:hAnsi="Calibri" w:eastAsia="Calibri" w:cs="Calibri"/>
          <w:color w:val="000000"/>
          <w:sz w:val="22"/>
          <w:szCs w:val="22"/>
        </w:rPr>
        <w:t xml:space="preserve">Batista Pereira LG (2008) Dossiê Técnico. Minador-das-Folhas-dos-Citros e Bichofurão: Pragas de Importância Econômica da Cultura do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sp. Retrieved from </w:t>
      </w:r>
      <w:hyperlink r:id="rId9272668500bc69c1a" w:history="1">
        <w:r>
          <w:rPr>
            <w:rFonts w:ascii="Calibri" w:hAnsi="Calibri" w:eastAsia="Calibri" w:cs="Calibri"/>
            <w:color w:val="0000CC"/>
            <w:sz w:val="22"/>
            <w:szCs w:val="22"/>
            <w:u w:val="single"/>
          </w:rPr>
          <w:t xml:space="preserve">http://www.respo statecnica.org.br</w:t>
        </w:r>
      </w:hyperlink>
      <w:r>
        <w:rPr>
          <w:rFonts w:ascii="Calibri" w:hAnsi="Calibri" w:eastAsia="Calibri" w:cs="Calibri"/>
          <w:color w:val="000000"/>
          <w:sz w:val="22"/>
          <w:szCs w:val="22"/>
        </w:rPr>
        <w:t xml:space="preserve"> [accessed on 26 November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Bento FMM (2008) Influência da umidade em quatro tipos de solo nel desenvolvimento pupal de </w:t>
      </w:r>
      <w:r>
        <w:rPr>
          <w:rFonts w:ascii="Calibri" w:hAnsi="Calibri" w:eastAsia="Calibri" w:cs="Calibri"/>
          <w:i/>
          <w:iCs/>
          <w:color w:val="000000"/>
          <w:sz w:val="22"/>
          <w:szCs w:val="22"/>
        </w:rPr>
        <w:t xml:space="preserve">Ceratitis capitata </w:t>
      </w:r>
      <w:r>
        <w:rPr>
          <w:rFonts w:ascii="Calibri" w:hAnsi="Calibri" w:eastAsia="Calibri" w:cs="Calibri"/>
          <w:color w:val="000000"/>
          <w:sz w:val="22"/>
          <w:szCs w:val="22"/>
        </w:rPr>
        <w:t xml:space="preserve">(Wiedemann, 1824), </w:t>
      </w:r>
      <w:r>
        <w:rPr>
          <w:rFonts w:ascii="Calibri" w:hAnsi="Calibri" w:eastAsia="Calibri" w:cs="Calibri"/>
          <w:i/>
          <w:iCs/>
          <w:color w:val="000000"/>
          <w:sz w:val="22"/>
          <w:szCs w:val="22"/>
        </w:rPr>
        <w:t xml:space="preserve">Anastrepha fraterculus </w:t>
      </w:r>
      <w:r>
        <w:rPr>
          <w:rFonts w:ascii="Calibri" w:hAnsi="Calibri" w:eastAsia="Calibri" w:cs="Calibri"/>
          <w:color w:val="000000"/>
          <w:sz w:val="22"/>
          <w:szCs w:val="22"/>
        </w:rPr>
        <w:t xml:space="preserve">(Wiedemann, 1830), do parasitóide </w:t>
      </w:r>
      <w:r>
        <w:rPr>
          <w:rFonts w:ascii="Calibri" w:hAnsi="Calibri" w:eastAsia="Calibri" w:cs="Calibri"/>
          <w:i/>
          <w:iCs/>
          <w:color w:val="000000"/>
          <w:sz w:val="22"/>
          <w:szCs w:val="22"/>
        </w:rPr>
        <w:t xml:space="preserve">Diachasmimorpha longicauda </w:t>
      </w:r>
      <w:r>
        <w:rPr>
          <w:rFonts w:ascii="Calibri" w:hAnsi="Calibri" w:eastAsia="Calibri" w:cs="Calibri"/>
          <w:color w:val="000000"/>
          <w:sz w:val="22"/>
          <w:szCs w:val="22"/>
        </w:rPr>
        <w:t xml:space="preserve">(Ashmed, 1905) e de </w:t>
      </w:r>
      <w:r>
        <w:rPr>
          <w:rFonts w:ascii="Calibri" w:hAnsi="Calibri" w:eastAsia="Calibri" w:cs="Calibri"/>
          <w:i/>
          <w:iCs/>
          <w:color w:val="000000"/>
          <w:sz w:val="22"/>
          <w:szCs w:val="22"/>
        </w:rPr>
        <w:t xml:space="preserve">Gymnandrosoma aurantianum </w:t>
      </w:r>
      <w:r>
        <w:rPr>
          <w:rFonts w:ascii="Calibri" w:hAnsi="Calibri" w:eastAsia="Calibri" w:cs="Calibri"/>
          <w:color w:val="000000"/>
          <w:sz w:val="22"/>
          <w:szCs w:val="22"/>
        </w:rPr>
        <w:t xml:space="preserve">Lima, 1927. Dissertação. Universidade de São Paulo, Brasil. 79 pp.</w:t>
      </w:r>
    </w:p>
    <w:p>
      <w:pPr>
        <w:widowControl w:val="on"/>
        <w:pBdr/>
        <w:spacing w:before="220" w:after="220" w:line="240" w:lineRule="auto"/>
        <w:ind w:left="0" w:right="0"/>
        <w:jc w:val="left"/>
      </w:pPr>
      <w:r>
        <w:rPr>
          <w:rFonts w:ascii="Calibri" w:hAnsi="Calibri" w:eastAsia="Calibri" w:cs="Calibri"/>
          <w:color w:val="000000"/>
          <w:sz w:val="22"/>
          <w:szCs w:val="22"/>
        </w:rPr>
        <w:t xml:space="preserve">Bento JMS, Parra JRP, de Miranda SHG, Adami ACO, Vilela EF &amp; Leal WS (2016) How much is a pheromone worth? </w:t>
      </w:r>
      <w:r>
        <w:rPr>
          <w:rFonts w:ascii="Calibri" w:hAnsi="Calibri" w:eastAsia="Calibri" w:cs="Calibri"/>
          <w:i/>
          <w:iCs/>
          <w:color w:val="000000"/>
          <w:sz w:val="22"/>
          <w:szCs w:val="22"/>
        </w:rPr>
        <w:t xml:space="preserve">F1000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1–13.</w:t>
      </w:r>
    </w:p>
    <w:p>
      <w:pPr>
        <w:widowControl w:val="on"/>
        <w:pBdr/>
        <w:spacing w:before="220" w:after="220" w:line="240" w:lineRule="auto"/>
        <w:ind w:left="0" w:right="0"/>
        <w:jc w:val="left"/>
      </w:pPr>
      <w:r>
        <w:rPr>
          <w:rFonts w:ascii="Calibri" w:hAnsi="Calibri" w:eastAsia="Calibri" w:cs="Calibri"/>
          <w:color w:val="000000"/>
          <w:sz w:val="22"/>
          <w:szCs w:val="22"/>
        </w:rPr>
        <w:t xml:space="preserve">Bento JMS, Parra JRP, Yamamoto PT &amp; Vilela EF (2001) Sexual behavior and diel activity of citrus fruit borer. </w:t>
      </w:r>
      <w:r>
        <w:rPr>
          <w:rFonts w:ascii="Calibri" w:hAnsi="Calibri" w:eastAsia="Calibri" w:cs="Calibri"/>
          <w:i/>
          <w:iCs/>
          <w:color w:val="000000"/>
          <w:sz w:val="22"/>
          <w:szCs w:val="22"/>
        </w:rPr>
        <w:t xml:space="preserve">Journal of Chemical Ecology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2053–2065.</w:t>
      </w:r>
    </w:p>
    <w:p>
      <w:pPr>
        <w:widowControl w:val="on"/>
        <w:pBdr/>
        <w:spacing w:before="220" w:after="220" w:line="240" w:lineRule="auto"/>
        <w:ind w:left="0" w:right="0"/>
        <w:jc w:val="left"/>
      </w:pPr>
      <w:r>
        <w:rPr>
          <w:rFonts w:ascii="Calibri" w:hAnsi="Calibri" w:eastAsia="Calibri" w:cs="Calibri"/>
          <w:color w:val="000000"/>
          <w:sz w:val="22"/>
          <w:szCs w:val="22"/>
        </w:rPr>
        <w:t xml:space="preserve">Bento JMS, Parra JRP, Yamamoto PT &amp; Vilela EF (2004) Feromônio sexual no manejo do bicho-furão-dos-citros. </w:t>
      </w:r>
      <w:r>
        <w:rPr>
          <w:rFonts w:ascii="Calibri" w:hAnsi="Calibri" w:eastAsia="Calibri" w:cs="Calibri"/>
          <w:i/>
          <w:iCs/>
          <w:color w:val="000000"/>
          <w:sz w:val="22"/>
          <w:szCs w:val="22"/>
        </w:rPr>
        <w:t xml:space="preserve">Visão Agrícola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68–71.</w:t>
      </w:r>
    </w:p>
    <w:p>
      <w:pPr>
        <w:widowControl w:val="on"/>
        <w:pBdr/>
        <w:spacing w:before="220" w:after="220" w:line="240" w:lineRule="auto"/>
        <w:ind w:left="0" w:right="0"/>
        <w:jc w:val="left"/>
      </w:pPr>
      <w:r>
        <w:rPr>
          <w:rFonts w:ascii="Calibri" w:hAnsi="Calibri" w:eastAsia="Calibri" w:cs="Calibri"/>
          <w:color w:val="000000"/>
          <w:sz w:val="22"/>
          <w:szCs w:val="22"/>
        </w:rPr>
        <w:t xml:space="preserve">Blanco-Metzler H (1994) The biology and ecology of the macadamia nutborer </w:t>
      </w:r>
      <w:r>
        <w:rPr>
          <w:rFonts w:ascii="Calibri" w:hAnsi="Calibri" w:eastAsia="Calibri" w:cs="Calibri"/>
          <w:i/>
          <w:iCs/>
          <w:color w:val="000000"/>
          <w:sz w:val="22"/>
          <w:szCs w:val="22"/>
        </w:rPr>
        <w:t xml:space="preserve">Ecdytolopha torticornis </w:t>
      </w:r>
      <w:r>
        <w:rPr>
          <w:rFonts w:ascii="Calibri" w:hAnsi="Calibri" w:eastAsia="Calibri" w:cs="Calibri"/>
          <w:color w:val="000000"/>
          <w:sz w:val="22"/>
          <w:szCs w:val="22"/>
        </w:rPr>
        <w:t xml:space="preserve">in Costa Rica. Thesis. University of Edinburgh (UK).</w:t>
      </w:r>
    </w:p>
    <w:p>
      <w:pPr>
        <w:widowControl w:val="on"/>
        <w:pBdr/>
        <w:spacing w:before="220" w:after="220" w:line="240" w:lineRule="auto"/>
        <w:ind w:left="0" w:right="0"/>
        <w:jc w:val="left"/>
      </w:pPr>
      <w:r>
        <w:rPr>
          <w:rFonts w:ascii="Calibri" w:hAnsi="Calibri" w:eastAsia="Calibri" w:cs="Calibri"/>
          <w:color w:val="000000"/>
          <w:sz w:val="22"/>
          <w:szCs w:val="22"/>
        </w:rPr>
        <w:t xml:space="preserve">Blanco-Metzler H, Villalobos R, Wat AD &amp; Cosens D (1997) Efecto del Manejo de las Malezas en Macadamia sobre la Población del Barrenador de la Nuez </w:t>
      </w:r>
      <w:r>
        <w:rPr>
          <w:rFonts w:ascii="Calibri" w:hAnsi="Calibri" w:eastAsia="Calibri" w:cs="Calibri"/>
          <w:i/>
          <w:iCs/>
          <w:color w:val="000000"/>
          <w:sz w:val="22"/>
          <w:szCs w:val="22"/>
        </w:rPr>
        <w:t xml:space="preserve">Ecdytolopha Torticornis </w:t>
      </w:r>
      <w:r>
        <w:rPr>
          <w:rFonts w:ascii="Calibri" w:hAnsi="Calibri" w:eastAsia="Calibri" w:cs="Calibri"/>
          <w:color w:val="000000"/>
          <w:sz w:val="22"/>
          <w:szCs w:val="22"/>
        </w:rPr>
        <w:t xml:space="preserve">Meyrick (Lep: Tortricidae). </w:t>
      </w:r>
      <w:r>
        <w:rPr>
          <w:rFonts w:ascii="Calibri" w:hAnsi="Calibri" w:eastAsia="Calibri" w:cs="Calibri"/>
          <w:i/>
          <w:iCs/>
          <w:color w:val="000000"/>
          <w:sz w:val="22"/>
          <w:szCs w:val="22"/>
        </w:rPr>
        <w:t xml:space="preserve">Agronomía Mesoamericana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96–100.</w:t>
      </w:r>
    </w:p>
    <w:p>
      <w:pPr>
        <w:widowControl w:val="on"/>
        <w:pBdr/>
        <w:spacing w:before="220" w:after="220" w:line="240" w:lineRule="auto"/>
        <w:ind w:left="0" w:right="0"/>
        <w:jc w:val="left"/>
      </w:pPr>
      <w:r>
        <w:rPr>
          <w:rFonts w:ascii="Calibri" w:hAnsi="Calibri" w:eastAsia="Calibri" w:cs="Calibri"/>
          <w:color w:val="000000"/>
          <w:sz w:val="22"/>
          <w:szCs w:val="22"/>
        </w:rPr>
        <w:t xml:space="preserve">Blanco-Metzler H, Watt A &amp; Cosens D (1993) Ciclo de vida y comportamiento de oviposición de </w:t>
      </w:r>
      <w:r>
        <w:rPr>
          <w:rFonts w:ascii="Calibri" w:hAnsi="Calibri" w:eastAsia="Calibri" w:cs="Calibri"/>
          <w:i/>
          <w:iCs/>
          <w:color w:val="000000"/>
          <w:sz w:val="22"/>
          <w:szCs w:val="22"/>
        </w:rPr>
        <w:t xml:space="preserve">Ecdytolopha torticornis </w:t>
      </w:r>
      <w:r>
        <w:rPr>
          <w:rFonts w:ascii="Calibri" w:hAnsi="Calibri" w:eastAsia="Calibri" w:cs="Calibri"/>
          <w:color w:val="000000"/>
          <w:sz w:val="22"/>
          <w:szCs w:val="22"/>
        </w:rPr>
        <w:t xml:space="preserve">(Lepidoptera: Tortricidae) barrenador de la nuez de macadamia. </w:t>
      </w:r>
      <w:r>
        <w:rPr>
          <w:rFonts w:ascii="Calibri" w:hAnsi="Calibri" w:eastAsia="Calibri" w:cs="Calibri"/>
          <w:i/>
          <w:iCs/>
          <w:color w:val="000000"/>
          <w:sz w:val="22"/>
          <w:szCs w:val="22"/>
        </w:rPr>
        <w:t xml:space="preserve">Manejo Integrado De Plagas (Costa Rica)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36–39.</w:t>
      </w:r>
    </w:p>
    <w:p>
      <w:pPr>
        <w:widowControl w:val="on"/>
        <w:pBdr/>
        <w:spacing w:before="220" w:after="220" w:line="240" w:lineRule="auto"/>
        <w:ind w:left="0" w:right="0"/>
        <w:jc w:val="left"/>
      </w:pPr>
      <w:r>
        <w:rPr>
          <w:rFonts w:ascii="Calibri" w:hAnsi="Calibri" w:eastAsia="Calibri" w:cs="Calibri"/>
          <w:color w:val="000000"/>
          <w:sz w:val="22"/>
          <w:szCs w:val="22"/>
        </w:rPr>
        <w:t xml:space="preserve">Blanco-Metzler H, Watt A &amp; Cosens D (2007) The effect of predators on the abundance of the macadamia Nutborer (‘</w:t>
      </w:r>
      <w:r>
        <w:rPr>
          <w:rFonts w:ascii="Calibri" w:hAnsi="Calibri" w:eastAsia="Calibri" w:cs="Calibri"/>
          <w:i/>
          <w:iCs/>
          <w:color w:val="000000"/>
          <w:sz w:val="22"/>
          <w:szCs w:val="22"/>
        </w:rPr>
        <w:t xml:space="preserve">Ecdytolopha torticornis’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Agronomía Costarricense: Revista De Ciencias Agrícolas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33–39.</w:t>
      </w:r>
    </w:p>
    <w:p>
      <w:pPr>
        <w:widowControl w:val="on"/>
        <w:pBdr/>
        <w:spacing w:before="220" w:after="220" w:line="240" w:lineRule="auto"/>
        <w:ind w:left="0" w:right="0"/>
        <w:jc w:val="left"/>
      </w:pPr>
      <w:r>
        <w:rPr>
          <w:rFonts w:ascii="Calibri" w:hAnsi="Calibri" w:eastAsia="Calibri" w:cs="Calibri"/>
          <w:color w:val="000000"/>
          <w:sz w:val="22"/>
          <w:szCs w:val="22"/>
        </w:rPr>
        <w:t xml:space="preserve">Blanco-Metzler H, Watt AD &amp; Cosens D (2009) The effect of parasitism on the population dynamics of the macadamia nutborer </w:t>
      </w:r>
      <w:r>
        <w:rPr>
          <w:rFonts w:ascii="Calibri" w:hAnsi="Calibri" w:eastAsia="Calibri" w:cs="Calibri"/>
          <w:i/>
          <w:iCs/>
          <w:color w:val="000000"/>
          <w:sz w:val="22"/>
          <w:szCs w:val="22"/>
        </w:rPr>
        <w:t xml:space="preserve">Gymnandrosoma aurantianum </w:t>
      </w:r>
      <w:r>
        <w:rPr>
          <w:rFonts w:ascii="Calibri" w:hAnsi="Calibri" w:eastAsia="Calibri" w:cs="Calibri"/>
          <w:color w:val="000000"/>
          <w:sz w:val="22"/>
          <w:szCs w:val="22"/>
        </w:rPr>
        <w:t xml:space="preserve">(lepidoptera: Tortricidae). </w:t>
      </w:r>
      <w:r>
        <w:rPr>
          <w:rFonts w:ascii="Calibri" w:hAnsi="Calibri" w:eastAsia="Calibri" w:cs="Calibri"/>
          <w:i/>
          <w:iCs/>
          <w:color w:val="000000"/>
          <w:sz w:val="22"/>
          <w:szCs w:val="22"/>
        </w:rPr>
        <w:t xml:space="preserve">Revista De Biologia Tropical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1245–1252.</w:t>
      </w:r>
    </w:p>
    <w:p>
      <w:pPr>
        <w:widowControl w:val="on"/>
        <w:pBdr/>
        <w:spacing w:before="220" w:after="220" w:line="240" w:lineRule="auto"/>
        <w:ind w:left="0" w:right="0"/>
        <w:jc w:val="left"/>
      </w:pPr>
      <w:r>
        <w:rPr>
          <w:rFonts w:ascii="Calibri" w:hAnsi="Calibri" w:eastAsia="Calibri" w:cs="Calibri"/>
          <w:color w:val="000000"/>
          <w:sz w:val="22"/>
          <w:szCs w:val="22"/>
        </w:rPr>
        <w:t xml:space="preserve">Briceño RAG &amp; Sharkey MJ (2000) </w:t>
      </w:r>
      <w:r>
        <w:rPr>
          <w:rFonts w:ascii="Calibri" w:hAnsi="Calibri" w:eastAsia="Calibri" w:cs="Calibri"/>
          <w:i/>
          <w:iCs/>
          <w:color w:val="000000"/>
          <w:sz w:val="22"/>
          <w:szCs w:val="22"/>
        </w:rPr>
        <w:t xml:space="preserve">Bassus macadamiae </w:t>
      </w:r>
      <w:r>
        <w:rPr>
          <w:rFonts w:ascii="Calibri" w:hAnsi="Calibri" w:eastAsia="Calibri" w:cs="Calibri"/>
          <w:color w:val="000000"/>
          <w:sz w:val="22"/>
          <w:szCs w:val="22"/>
        </w:rPr>
        <w:t xml:space="preserve">sp. n. (Hymenoptera: Braconidae: Agathidinae), Parasitoid of </w:t>
      </w:r>
      <w:r>
        <w:rPr>
          <w:rFonts w:ascii="Calibri" w:hAnsi="Calibri" w:eastAsia="Calibri" w:cs="Calibri"/>
          <w:i/>
          <w:iCs/>
          <w:color w:val="000000"/>
          <w:sz w:val="22"/>
          <w:szCs w:val="22"/>
        </w:rPr>
        <w:t xml:space="preserve">Ecdytolopha torticornis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E. aurantianum </w:t>
      </w:r>
      <w:r>
        <w:rPr>
          <w:rFonts w:ascii="Calibri" w:hAnsi="Calibri" w:eastAsia="Calibri" w:cs="Calibri"/>
          <w:color w:val="000000"/>
          <w:sz w:val="22"/>
          <w:szCs w:val="22"/>
        </w:rPr>
        <w:t xml:space="preserve">(Lepidoptera: Tortricidae) in Macadamia Nut Crops in Central and South America. </w:t>
      </w:r>
      <w:r>
        <w:rPr>
          <w:rFonts w:ascii="Calibri" w:hAnsi="Calibri" w:eastAsia="Calibri" w:cs="Calibri"/>
          <w:i/>
          <w:iCs/>
          <w:color w:val="000000"/>
          <w:sz w:val="22"/>
          <w:szCs w:val="22"/>
        </w:rPr>
        <w:t xml:space="preserve">Journal of Hymenoptera Research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99–103.</w:t>
      </w:r>
    </w:p>
    <w:p>
      <w:pPr>
        <w:widowControl w:val="on"/>
        <w:pBdr/>
        <w:spacing w:before="220" w:after="220" w:line="240" w:lineRule="auto"/>
        <w:ind w:left="0" w:right="0"/>
        <w:jc w:val="left"/>
      </w:pPr>
      <w:r>
        <w:rPr>
          <w:rFonts w:ascii="Calibri" w:hAnsi="Calibri" w:eastAsia="Calibri" w:cs="Calibri"/>
          <w:color w:val="000000"/>
          <w:sz w:val="22"/>
          <w:szCs w:val="22"/>
        </w:rPr>
        <w:t xml:space="preserve">Brown JW (2011) Tools for Identifying the Larvae of Leafrollers (Lepidoptera: Tortricidae) frequently Intercepted at U.S. Ports of Entry Systematic Entomology Laboratory, PSI, Agricultural Research Service, U.S. Department of Agriculture c/o National Museum of Natural History, Washington, D.C. Draft, September 2011. 19 pp. </w:t>
      </w:r>
      <w:hyperlink r:id="rId8904668500bc6a1b5" w:history="1">
        <w:r>
          <w:rPr>
            <w:rFonts w:ascii="Calibri" w:hAnsi="Calibri" w:eastAsia="Calibri" w:cs="Calibri"/>
            <w:color w:val="0000CC"/>
            <w:sz w:val="22"/>
            <w:szCs w:val="22"/>
            <w:u w:val="single"/>
          </w:rPr>
          <w:t xml:space="preserve">http://idtoo ls.org/</w:t>
        </w:r>
      </w:hyperlink>
      <w:r>
        <w:rPr>
          <w:rFonts w:ascii="Calibri" w:hAnsi="Calibri" w:eastAsia="Calibri" w:cs="Calibri"/>
          <w:color w:val="000000"/>
          <w:sz w:val="22"/>
          <w:szCs w:val="22"/>
        </w:rPr>
        <w:t xml:space="preserve"> [accessed 26 November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Cabrera-Asencio I, Vélez A, Henríquez S &amp; Santiago-Blay J (2013) </w:t>
      </w:r>
      <w:r>
        <w:rPr>
          <w:rFonts w:ascii="Calibri" w:hAnsi="Calibri" w:eastAsia="Calibri" w:cs="Calibri"/>
          <w:i/>
          <w:iCs/>
          <w:color w:val="000000"/>
          <w:sz w:val="22"/>
          <w:szCs w:val="22"/>
        </w:rPr>
        <w:t xml:space="preserve">Melicoccus bijugatus </w:t>
      </w:r>
      <w:r>
        <w:rPr>
          <w:rFonts w:ascii="Calibri" w:hAnsi="Calibri" w:eastAsia="Calibri" w:cs="Calibri"/>
          <w:color w:val="000000"/>
          <w:sz w:val="22"/>
          <w:szCs w:val="22"/>
        </w:rPr>
        <w:t xml:space="preserve">Jacquin (Sapindaceae), quenepa: A new host plant record for the Citrus Fruit Borer, </w:t>
      </w:r>
      <w:r>
        <w:rPr>
          <w:rFonts w:ascii="Calibri" w:hAnsi="Calibri" w:eastAsia="Calibri" w:cs="Calibri"/>
          <w:i/>
          <w:iCs/>
          <w:color w:val="000000"/>
          <w:sz w:val="22"/>
          <w:szCs w:val="22"/>
        </w:rPr>
        <w:t xml:space="preserve">Gymnandrosoma aurantianum </w:t>
      </w:r>
      <w:r>
        <w:rPr>
          <w:rFonts w:ascii="Calibri" w:hAnsi="Calibri" w:eastAsia="Calibri" w:cs="Calibri"/>
          <w:color w:val="000000"/>
          <w:sz w:val="22"/>
          <w:szCs w:val="22"/>
        </w:rPr>
        <w:t xml:space="preserve">Lima, 1927 (Lepidoptera: Tortricidae) and the genus </w:t>
      </w:r>
      <w:r>
        <w:rPr>
          <w:rFonts w:ascii="Calibri" w:hAnsi="Calibri" w:eastAsia="Calibri" w:cs="Calibri"/>
          <w:i/>
          <w:iCs/>
          <w:color w:val="000000"/>
          <w:sz w:val="22"/>
          <w:szCs w:val="22"/>
        </w:rPr>
        <w:t xml:space="preserve">Gymnandrosoma </w:t>
      </w:r>
      <w:r>
        <w:rPr>
          <w:rFonts w:ascii="Calibri" w:hAnsi="Calibri" w:eastAsia="Calibri" w:cs="Calibri"/>
          <w:color w:val="000000"/>
          <w:sz w:val="22"/>
          <w:szCs w:val="22"/>
        </w:rPr>
        <w:t xml:space="preserve">in Puerto Rico. </w:t>
      </w:r>
      <w:r>
        <w:rPr>
          <w:rFonts w:ascii="Calibri" w:hAnsi="Calibri" w:eastAsia="Calibri" w:cs="Calibri"/>
          <w:i/>
          <w:iCs/>
          <w:color w:val="000000"/>
          <w:sz w:val="22"/>
          <w:szCs w:val="22"/>
        </w:rPr>
        <w:t xml:space="preserve">Life: The Excitement of Biology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3–16.</w:t>
      </w:r>
    </w:p>
    <w:p>
      <w:pPr>
        <w:widowControl w:val="on"/>
        <w:pBdr/>
        <w:spacing w:before="220" w:after="220" w:line="240" w:lineRule="auto"/>
        <w:ind w:left="0" w:right="0"/>
        <w:jc w:val="left"/>
      </w:pPr>
      <w:r>
        <w:rPr>
          <w:rFonts w:ascii="Calibri" w:hAnsi="Calibri" w:eastAsia="Calibri" w:cs="Calibri"/>
          <w:color w:val="000000"/>
          <w:sz w:val="22"/>
          <w:szCs w:val="22"/>
        </w:rPr>
        <w:t xml:space="preserve">COSAVE-IICA (1999) XXI reunión del grupo de trabajo permanente en cuarentena vegetal. Foz do Iguaçu, Brasil 03-07 de mayo de 1999. 23 pp.</w:t>
      </w:r>
    </w:p>
    <w:p>
      <w:pPr>
        <w:widowControl w:val="on"/>
        <w:pBdr/>
        <w:spacing w:before="220" w:after="220" w:line="240" w:lineRule="auto"/>
        <w:ind w:left="0" w:right="0"/>
        <w:jc w:val="left"/>
      </w:pPr>
      <w:r>
        <w:rPr>
          <w:rFonts w:ascii="Calibri" w:hAnsi="Calibri" w:eastAsia="Calibri" w:cs="Calibri"/>
          <w:color w:val="000000"/>
          <w:sz w:val="22"/>
          <w:szCs w:val="22"/>
        </w:rPr>
        <w:t xml:space="preserve">Delgado Puchi N (2005) Caracterización morfológica de los Sesiidae (Insecta: Lepidoptera) perforadores del fruto del cacao (</w:t>
      </w:r>
      <w:r>
        <w:rPr>
          <w:rFonts w:ascii="Calibri" w:hAnsi="Calibri" w:eastAsia="Calibri" w:cs="Calibri"/>
          <w:i/>
          <w:iCs/>
          <w:color w:val="000000"/>
          <w:sz w:val="22"/>
          <w:szCs w:val="22"/>
        </w:rPr>
        <w:t xml:space="preserve">Theobroma cacao </w:t>
      </w:r>
      <w:r>
        <w:rPr>
          <w:rFonts w:ascii="Calibri" w:hAnsi="Calibri" w:eastAsia="Calibri" w:cs="Calibri"/>
          <w:color w:val="000000"/>
          <w:sz w:val="22"/>
          <w:szCs w:val="22"/>
        </w:rPr>
        <w:t xml:space="preserve">L.), presentes en la región costera del estado Aragua. </w:t>
      </w:r>
      <w:r>
        <w:rPr>
          <w:rFonts w:ascii="Calibri" w:hAnsi="Calibri" w:eastAsia="Calibri" w:cs="Calibri"/>
          <w:i/>
          <w:iCs/>
          <w:color w:val="000000"/>
          <w:sz w:val="22"/>
          <w:szCs w:val="22"/>
        </w:rPr>
        <w:t xml:space="preserve">Venezuela. Entomotropica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97–111.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Pest Risk Analysis for </w:t>
      </w:r>
      <w:r>
        <w:rPr>
          <w:rFonts w:ascii="Calibri" w:hAnsi="Calibri" w:eastAsia="Calibri" w:cs="Calibri"/>
          <w:i/>
          <w:iCs/>
          <w:color w:val="000000"/>
          <w:sz w:val="22"/>
          <w:szCs w:val="22"/>
        </w:rPr>
        <w:t xml:space="preserve">Gymnandrosoma aurantianum </w:t>
      </w:r>
      <w:r>
        <w:rPr>
          <w:rFonts w:ascii="Calibri" w:hAnsi="Calibri" w:eastAsia="Calibri" w:cs="Calibri"/>
          <w:color w:val="000000"/>
          <w:sz w:val="22"/>
          <w:szCs w:val="22"/>
        </w:rPr>
        <w:t xml:space="preserve">(Lepidoptera: Tortricidae), citrus fruit borer, macadamia fruit borer. Document 20-25860. </w:t>
      </w:r>
      <w:hyperlink r:id="rId2822668500bc6a356" w:history="1">
        <w:r>
          <w:rPr>
            <w:rFonts w:ascii="Calibri" w:hAnsi="Calibri" w:eastAsia="Calibri" w:cs="Calibri"/>
            <w:color w:val="0000CC"/>
            <w:sz w:val="22"/>
            <w:szCs w:val="22"/>
            <w:u w:val="single"/>
          </w:rPr>
          <w:t xml:space="preserve">https://gd.eppo.int</w:t>
        </w:r>
      </w:hyperlink>
      <w:r>
        <w:rPr>
          <w:rFonts w:ascii="Calibri" w:hAnsi="Calibri" w:eastAsia="Calibri" w:cs="Calibri"/>
          <w:color w:val="000000"/>
          <w:sz w:val="22"/>
          <w:szCs w:val="22"/>
        </w:rPr>
        <w:t xml:space="preserve"> [accessed on 26 November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Fundecitrus (2007) </w:t>
      </w:r>
      <w:r>
        <w:rPr>
          <w:rFonts w:ascii="Calibri" w:hAnsi="Calibri" w:eastAsia="Calibri" w:cs="Calibri"/>
          <w:i/>
          <w:iCs/>
          <w:color w:val="000000"/>
          <w:sz w:val="22"/>
          <w:szCs w:val="22"/>
        </w:rPr>
        <w:t xml:space="preserve">Manual técnico do Bicho Furão</w:t>
      </w:r>
      <w:r>
        <w:rPr>
          <w:rFonts w:ascii="Calibri" w:hAnsi="Calibri" w:eastAsia="Calibri" w:cs="Calibri"/>
          <w:color w:val="000000"/>
          <w:sz w:val="22"/>
          <w:szCs w:val="22"/>
        </w:rPr>
        <w:t xml:space="preserve">. Funde de Defesa da Citricultura, Brasil.</w:t>
      </w:r>
    </w:p>
    <w:p>
      <w:pPr>
        <w:widowControl w:val="on"/>
        <w:pBdr/>
        <w:spacing w:before="220" w:after="220" w:line="240" w:lineRule="auto"/>
        <w:ind w:left="0" w:right="0"/>
        <w:jc w:val="left"/>
      </w:pPr>
      <w:r>
        <w:rPr>
          <w:rFonts w:ascii="Calibri" w:hAnsi="Calibri" w:eastAsia="Calibri" w:cs="Calibri"/>
          <w:color w:val="000000"/>
          <w:sz w:val="22"/>
          <w:szCs w:val="22"/>
        </w:rPr>
        <w:t xml:space="preserve">Fundecitrus (2019) Bicho Furao. Funde de Defesa da Citricultura, Brasil. </w:t>
      </w:r>
      <w:hyperlink r:id="rId9587668500bc6a3d4" w:history="1">
        <w:r>
          <w:rPr>
            <w:rFonts w:ascii="Calibri" w:hAnsi="Calibri" w:eastAsia="Calibri" w:cs="Calibri"/>
            <w:color w:val="0000CC"/>
            <w:sz w:val="22"/>
            <w:szCs w:val="22"/>
            <w:u w:val="single"/>
          </w:rPr>
          <w:t xml:space="preserve">https://www.funde citrus.com.br/doenc as/bicho -furao</w:t>
        </w:r>
      </w:hyperlink>
      <w:r>
        <w:rPr>
          <w:rFonts w:ascii="Calibri" w:hAnsi="Calibri" w:eastAsia="Calibri" w:cs="Calibri"/>
          <w:color w:val="000000"/>
          <w:sz w:val="22"/>
          <w:szCs w:val="22"/>
        </w:rPr>
        <w:t xml:space="preserve"> [accessed on 26 November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García CV (2005) Reconocimiento fitosanitario en cinco variedades cultivadas de macadamia (</w:t>
      </w:r>
      <w:r>
        <w:rPr>
          <w:rFonts w:ascii="Calibri" w:hAnsi="Calibri" w:eastAsia="Calibri" w:cs="Calibri"/>
          <w:i/>
          <w:iCs/>
          <w:color w:val="000000"/>
          <w:sz w:val="22"/>
          <w:szCs w:val="22"/>
        </w:rPr>
        <w:t xml:space="preserve">Macadamia integrifolia </w:t>
      </w:r>
      <w:r>
        <w:rPr>
          <w:rFonts w:ascii="Calibri" w:hAnsi="Calibri" w:eastAsia="Calibri" w:cs="Calibri"/>
          <w:color w:val="000000"/>
          <w:sz w:val="22"/>
          <w:szCs w:val="22"/>
        </w:rPr>
        <w:t xml:space="preserve">Maiden et Betche) en la zona cafetera colombiana. </w:t>
      </w:r>
      <w:r>
        <w:rPr>
          <w:rFonts w:ascii="Calibri" w:hAnsi="Calibri" w:eastAsia="Calibri" w:cs="Calibri"/>
          <w:i/>
          <w:iCs/>
          <w:color w:val="000000"/>
          <w:sz w:val="22"/>
          <w:szCs w:val="22"/>
        </w:rPr>
        <w:t xml:space="preserve">Manejo Integrado de Plagas y Agroecología (Costa Rica)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69–76.</w:t>
      </w:r>
    </w:p>
    <w:p>
      <w:pPr>
        <w:widowControl w:val="on"/>
        <w:pBdr/>
        <w:spacing w:before="220" w:after="220" w:line="240" w:lineRule="auto"/>
        <w:ind w:left="0" w:right="0"/>
        <w:jc w:val="left"/>
      </w:pPr>
      <w:r>
        <w:rPr>
          <w:rFonts w:ascii="Calibri" w:hAnsi="Calibri" w:eastAsia="Calibri" w:cs="Calibri"/>
          <w:color w:val="000000"/>
          <w:sz w:val="22"/>
          <w:szCs w:val="22"/>
        </w:rPr>
        <w:t xml:space="preserve">Garcia MS (1998) Bioecologia e potencial de controle biológico de </w:t>
      </w:r>
      <w:r>
        <w:rPr>
          <w:rFonts w:ascii="Calibri" w:hAnsi="Calibri" w:eastAsia="Calibri" w:cs="Calibri"/>
          <w:i/>
          <w:iCs/>
          <w:color w:val="000000"/>
          <w:sz w:val="22"/>
          <w:szCs w:val="22"/>
        </w:rPr>
        <w:t xml:space="preserve">Ecdytolopha aurantiana </w:t>
      </w:r>
      <w:r>
        <w:rPr>
          <w:rFonts w:ascii="Calibri" w:hAnsi="Calibri" w:eastAsia="Calibri" w:cs="Calibri"/>
          <w:color w:val="000000"/>
          <w:sz w:val="22"/>
          <w:szCs w:val="22"/>
        </w:rPr>
        <w:t xml:space="preserve">(Lima, 1927) (Lepidoptera: Tortricidae), o bicho-furão-dos-citros, através de </w:t>
      </w:r>
      <w:r>
        <w:rPr>
          <w:rFonts w:ascii="Calibri" w:hAnsi="Calibri" w:eastAsia="Calibri" w:cs="Calibri"/>
          <w:i/>
          <w:iCs/>
          <w:color w:val="000000"/>
          <w:sz w:val="22"/>
          <w:szCs w:val="22"/>
        </w:rPr>
        <w:t xml:space="preserve">Trichogramma pretiosum </w:t>
      </w:r>
      <w:r>
        <w:rPr>
          <w:rFonts w:ascii="Calibri" w:hAnsi="Calibri" w:eastAsia="Calibri" w:cs="Calibri"/>
          <w:color w:val="000000"/>
          <w:sz w:val="22"/>
          <w:szCs w:val="22"/>
        </w:rPr>
        <w:t xml:space="preserve">Riley, 1879. Tese de Doutorado, Escola Superior de Agricultura ‘Luiz de Queiroz’, USP, Piracicaba, Brasil. 118 pp.</w:t>
      </w:r>
    </w:p>
    <w:p>
      <w:pPr>
        <w:widowControl w:val="on"/>
        <w:pBdr/>
        <w:spacing w:before="220" w:after="220" w:line="240" w:lineRule="auto"/>
        <w:ind w:left="0" w:right="0"/>
        <w:jc w:val="left"/>
      </w:pPr>
      <w:r>
        <w:rPr>
          <w:rFonts w:ascii="Calibri" w:hAnsi="Calibri" w:eastAsia="Calibri" w:cs="Calibri"/>
          <w:color w:val="000000"/>
          <w:sz w:val="22"/>
          <w:szCs w:val="22"/>
        </w:rPr>
        <w:t xml:space="preserve">Garcia MS &amp; Parra JRP (1999) Comparação de dietas artificiais, com fontes protéicas variáveis, para criação de </w:t>
      </w:r>
      <w:r>
        <w:rPr>
          <w:rFonts w:ascii="Calibri" w:hAnsi="Calibri" w:eastAsia="Calibri" w:cs="Calibri"/>
          <w:i/>
          <w:iCs/>
          <w:color w:val="000000"/>
          <w:sz w:val="22"/>
          <w:szCs w:val="22"/>
        </w:rPr>
        <w:t xml:space="preserve">Ecdytolopha aurantiana </w:t>
      </w:r>
      <w:r>
        <w:rPr>
          <w:rFonts w:ascii="Calibri" w:hAnsi="Calibri" w:eastAsia="Calibri" w:cs="Calibri"/>
          <w:color w:val="000000"/>
          <w:sz w:val="22"/>
          <w:szCs w:val="22"/>
        </w:rPr>
        <w:t xml:space="preserve">(Lima) (Lepidoptera: Tortricidae). </w:t>
      </w:r>
      <w:r>
        <w:rPr>
          <w:rFonts w:ascii="Calibri" w:hAnsi="Calibri" w:eastAsia="Calibri" w:cs="Calibri"/>
          <w:i/>
          <w:iCs/>
          <w:color w:val="000000"/>
          <w:sz w:val="22"/>
          <w:szCs w:val="22"/>
        </w:rPr>
        <w:t xml:space="preserve">Anais da Sociedade Entomológica do Brasil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219–232.</w:t>
      </w:r>
    </w:p>
    <w:p>
      <w:pPr>
        <w:widowControl w:val="on"/>
        <w:pBdr/>
        <w:spacing w:before="220" w:after="220" w:line="240" w:lineRule="auto"/>
        <w:ind w:left="0" w:right="0"/>
        <w:jc w:val="left"/>
      </w:pPr>
      <w:r>
        <w:rPr>
          <w:rFonts w:ascii="Calibri" w:hAnsi="Calibri" w:eastAsia="Calibri" w:cs="Calibri"/>
          <w:color w:val="000000"/>
          <w:sz w:val="22"/>
          <w:szCs w:val="22"/>
        </w:rPr>
        <w:t xml:space="preserve">Gilligan TM &amp; Epstein ME (2014) </w:t>
      </w:r>
      <w:r>
        <w:rPr>
          <w:rFonts w:ascii="Calibri" w:hAnsi="Calibri" w:eastAsia="Calibri" w:cs="Calibri"/>
          <w:i/>
          <w:iCs/>
          <w:color w:val="000000"/>
          <w:sz w:val="22"/>
          <w:szCs w:val="22"/>
        </w:rPr>
        <w:t xml:space="preserve">Gymnandrosoma aurantianum</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Tortricids of Agricultural Importance by Todd M. Gilligan and Marc E. Epstein</w:t>
      </w:r>
      <w:r>
        <w:rPr>
          <w:rFonts w:ascii="Calibri" w:hAnsi="Calibri" w:eastAsia="Calibri" w:cs="Calibri"/>
          <w:color w:val="000000"/>
          <w:sz w:val="22"/>
          <w:szCs w:val="22"/>
        </w:rPr>
        <w:t xml:space="preserve">. Interactive Keys developed in Lucid 3.5. Last updated August 2014. </w:t>
      </w:r>
      <w:hyperlink r:id="rId7308668500bc6a591" w:history="1">
        <w:r>
          <w:rPr>
            <w:rFonts w:ascii="Calibri" w:hAnsi="Calibri" w:eastAsia="Calibri" w:cs="Calibri"/>
            <w:color w:val="0000CC"/>
            <w:sz w:val="22"/>
            <w:szCs w:val="22"/>
            <w:u w:val="single"/>
          </w:rPr>
          <w:t xml:space="preserve">http://idtools.org/id/leps/tortai/</w:t>
        </w:r>
      </w:hyperlink>
      <w:r>
        <w:rPr>
          <w:rFonts w:ascii="Calibri" w:hAnsi="Calibri" w:eastAsia="Calibri" w:cs="Calibri"/>
          <w:color w:val="000000"/>
          <w:sz w:val="22"/>
          <w:szCs w:val="22"/>
        </w:rPr>
        <w:t xml:space="preserve"> [accessed on 26 November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Gomez Orellana RE, Hernandez Lovato L &amp; Jeorge Ferman RE (2008) Insectos asociados al nance (</w:t>
      </w:r>
      <w:r>
        <w:rPr>
          <w:rFonts w:ascii="Calibri" w:hAnsi="Calibri" w:eastAsia="Calibri" w:cs="Calibri"/>
          <w:i/>
          <w:iCs/>
          <w:color w:val="000000"/>
          <w:sz w:val="22"/>
          <w:szCs w:val="22"/>
        </w:rPr>
        <w:t xml:space="preserve">Byrsonima crassifolia </w:t>
      </w:r>
      <w:r>
        <w:rPr>
          <w:rFonts w:ascii="Calibri" w:hAnsi="Calibri" w:eastAsia="Calibri" w:cs="Calibri"/>
          <w:color w:val="000000"/>
          <w:sz w:val="22"/>
          <w:szCs w:val="22"/>
        </w:rPr>
        <w:t xml:space="preserve">L.) en los municipios de La Palma, departamento de Chalatenango y Quezaltepeque, departamento de La Libertad, El Salvador. Tesis. Universidad de El Salvador. 78 pp.</w:t>
      </w:r>
    </w:p>
    <w:p>
      <w:pPr>
        <w:widowControl w:val="on"/>
        <w:pBdr/>
        <w:spacing w:before="220" w:after="220" w:line="240" w:lineRule="auto"/>
        <w:ind w:left="0" w:right="0"/>
        <w:jc w:val="left"/>
      </w:pPr>
      <w:r>
        <w:rPr>
          <w:rFonts w:ascii="Calibri" w:hAnsi="Calibri" w:eastAsia="Calibri" w:cs="Calibri"/>
          <w:color w:val="000000"/>
          <w:sz w:val="22"/>
          <w:szCs w:val="22"/>
        </w:rPr>
        <w:t xml:space="preserve">Gómez Torres ML (2005) </w:t>
      </w:r>
      <w:r>
        <w:rPr>
          <w:rFonts w:ascii="Calibri" w:hAnsi="Calibri" w:eastAsia="Calibri" w:cs="Calibri"/>
          <w:i/>
          <w:iCs/>
          <w:color w:val="000000"/>
          <w:sz w:val="22"/>
          <w:szCs w:val="22"/>
        </w:rPr>
        <w:t xml:space="preserve">Controle Biológico de </w:t>
      </w:r>
      <w:r>
        <w:rPr>
          <w:rFonts w:ascii="Calibri" w:hAnsi="Calibri" w:eastAsia="Calibri" w:cs="Calibri"/>
          <w:color w:val="000000"/>
          <w:sz w:val="22"/>
          <w:szCs w:val="22"/>
        </w:rPr>
        <w:t xml:space="preserve">Ecdytolopha aurantiana </w:t>
      </w:r>
      <w:r>
        <w:rPr>
          <w:rFonts w:ascii="Calibri" w:hAnsi="Calibri" w:eastAsia="Calibri" w:cs="Calibri"/>
          <w:i/>
          <w:iCs/>
          <w:color w:val="000000"/>
          <w:sz w:val="22"/>
          <w:szCs w:val="22"/>
        </w:rPr>
        <w:t xml:space="preserve">(Lima, 1927) (Lepidoptera : Tortricidae) com </w:t>
      </w:r>
      <w:r>
        <w:rPr>
          <w:rFonts w:ascii="Calibri" w:hAnsi="Calibri" w:eastAsia="Calibri" w:cs="Calibri"/>
          <w:color w:val="000000"/>
          <w:sz w:val="22"/>
          <w:szCs w:val="22"/>
        </w:rPr>
        <w:t xml:space="preserve">Trichogramma atopovirilia </w:t>
      </w:r>
      <w:r>
        <w:rPr>
          <w:rFonts w:ascii="Calibri" w:hAnsi="Calibri" w:eastAsia="Calibri" w:cs="Calibri"/>
          <w:i/>
          <w:iCs/>
          <w:color w:val="000000"/>
          <w:sz w:val="22"/>
          <w:szCs w:val="22"/>
        </w:rPr>
        <w:t xml:space="preserve">Oatman &amp; Platner, 1983</w:t>
      </w:r>
      <w:r>
        <w:rPr>
          <w:rFonts w:ascii="Calibri" w:hAnsi="Calibri" w:eastAsia="Calibri" w:cs="Calibri"/>
          <w:color w:val="000000"/>
          <w:sz w:val="22"/>
          <w:szCs w:val="22"/>
        </w:rPr>
        <w:t xml:space="preserve">. Dissertação. Universidade de São Paulo, Brasil. 127 pp.</w:t>
      </w:r>
    </w:p>
    <w:p>
      <w:pPr>
        <w:widowControl w:val="on"/>
        <w:pBdr/>
        <w:spacing w:before="220" w:after="220" w:line="240" w:lineRule="auto"/>
        <w:ind w:left="0" w:right="0"/>
        <w:jc w:val="left"/>
      </w:pPr>
      <w:r>
        <w:rPr>
          <w:rFonts w:ascii="Calibri" w:hAnsi="Calibri" w:eastAsia="Calibri" w:cs="Calibri"/>
          <w:color w:val="000000"/>
          <w:sz w:val="22"/>
          <w:szCs w:val="22"/>
        </w:rPr>
        <w:t xml:space="preserve">Leal WS, Bento JMS, Murata Y, Ono M, Parra JRP &amp; Vilela EF (2001) Identification, synthesis, and field evaluation of the sex pheromone of the citrus fruit borer </w:t>
      </w:r>
      <w:r>
        <w:rPr>
          <w:rFonts w:ascii="Calibri" w:hAnsi="Calibri" w:eastAsia="Calibri" w:cs="Calibri"/>
          <w:i/>
          <w:iCs/>
          <w:color w:val="000000"/>
          <w:sz w:val="22"/>
          <w:szCs w:val="22"/>
        </w:rPr>
        <w:t xml:space="preserve">Ecdytolopha aurantiana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Chemical Ecology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2041–2051.</w:t>
      </w:r>
    </w:p>
    <w:p>
      <w:pPr>
        <w:widowControl w:val="on"/>
        <w:pBdr/>
        <w:spacing w:before="220" w:after="220" w:line="240" w:lineRule="auto"/>
        <w:ind w:left="0" w:right="0"/>
        <w:jc w:val="left"/>
      </w:pPr>
      <w:r>
        <w:rPr>
          <w:rFonts w:ascii="Calibri" w:hAnsi="Calibri" w:eastAsia="Calibri" w:cs="Calibri"/>
          <w:color w:val="000000"/>
          <w:sz w:val="22"/>
          <w:szCs w:val="22"/>
        </w:rPr>
        <w:t xml:space="preserve">Leandro HHC (2012) Identificación y estudio de la biología de </w:t>
      </w:r>
      <w:r>
        <w:rPr>
          <w:rFonts w:ascii="Calibri" w:hAnsi="Calibri" w:eastAsia="Calibri" w:cs="Calibri"/>
          <w:i/>
          <w:iCs/>
          <w:color w:val="000000"/>
          <w:sz w:val="22"/>
          <w:szCs w:val="22"/>
        </w:rPr>
        <w:t xml:space="preserve">Gymnandrosoma aurantianum </w:t>
      </w:r>
      <w:r>
        <w:rPr>
          <w:rFonts w:ascii="Calibri" w:hAnsi="Calibri" w:eastAsia="Calibri" w:cs="Calibri"/>
          <w:color w:val="000000"/>
          <w:sz w:val="22"/>
          <w:szCs w:val="22"/>
        </w:rPr>
        <w:t xml:space="preserve">Costa Lima 'perforador del fruto de sacha inchi' (</w:t>
      </w:r>
      <w:r>
        <w:rPr>
          <w:rFonts w:ascii="Calibri" w:hAnsi="Calibri" w:eastAsia="Calibri" w:cs="Calibri"/>
          <w:i/>
          <w:iCs/>
          <w:color w:val="000000"/>
          <w:sz w:val="22"/>
          <w:szCs w:val="22"/>
        </w:rPr>
        <w:t xml:space="preserve">Plukenetia volubilis </w:t>
      </w:r>
      <w:r>
        <w:rPr>
          <w:rFonts w:ascii="Calibri" w:hAnsi="Calibri" w:eastAsia="Calibri" w:cs="Calibri"/>
          <w:color w:val="000000"/>
          <w:sz w:val="22"/>
          <w:szCs w:val="22"/>
        </w:rPr>
        <w:t xml:space="preserve">L.) en Tingo María. Tesis. Universidad Nacional Agraria de La Selva, Tingo María (PE)</w:t>
      </w:r>
    </w:p>
    <w:p>
      <w:pPr>
        <w:widowControl w:val="on"/>
        <w:pBdr/>
        <w:spacing w:before="220" w:after="220" w:line="240" w:lineRule="auto"/>
        <w:ind w:left="0" w:right="0"/>
        <w:jc w:val="left"/>
      </w:pPr>
      <w:r>
        <w:rPr>
          <w:rFonts w:ascii="Calibri" w:hAnsi="Calibri" w:eastAsia="Calibri" w:cs="Calibri"/>
          <w:color w:val="000000"/>
          <w:sz w:val="22"/>
          <w:szCs w:val="22"/>
        </w:rPr>
        <w:t xml:space="preserve">Leite LG, Tavares FM, Goulart RM, Filho AB &amp; Parra JRP (2005) Patogenicidade de Nematoides Entomopatogenicos a Larvas de 6° Instar do Bicho-Furão, </w:t>
      </w:r>
      <w:r>
        <w:rPr>
          <w:rFonts w:ascii="Calibri" w:hAnsi="Calibri" w:eastAsia="Calibri" w:cs="Calibri"/>
          <w:i/>
          <w:iCs/>
          <w:color w:val="000000"/>
          <w:sz w:val="22"/>
          <w:szCs w:val="22"/>
        </w:rPr>
        <w:t xml:space="preserve">Ecdytolopha aurantiana </w:t>
      </w:r>
      <w:r>
        <w:rPr>
          <w:rFonts w:ascii="Calibri" w:hAnsi="Calibri" w:eastAsia="Calibri" w:cs="Calibri"/>
          <w:color w:val="000000"/>
          <w:sz w:val="22"/>
          <w:szCs w:val="22"/>
        </w:rPr>
        <w:t xml:space="preserve">(Lepidoptera: Tortricidae), e Avaliação de Dosagens de </w:t>
      </w:r>
      <w:r>
        <w:rPr>
          <w:rFonts w:ascii="Calibri" w:hAnsi="Calibri" w:eastAsia="Calibri" w:cs="Calibri"/>
          <w:i/>
          <w:iCs/>
          <w:color w:val="000000"/>
          <w:sz w:val="22"/>
          <w:szCs w:val="22"/>
        </w:rPr>
        <w:t xml:space="preserve">Heterorhabditis indica </w:t>
      </w:r>
      <w:r>
        <w:rPr>
          <w:rFonts w:ascii="Calibri" w:hAnsi="Calibri" w:eastAsia="Calibri" w:cs="Calibri"/>
          <w:color w:val="000000"/>
          <w:sz w:val="22"/>
          <w:szCs w:val="22"/>
        </w:rPr>
        <w:t xml:space="preserve">na Mortalidade do Inseto. </w:t>
      </w:r>
      <w:r>
        <w:rPr>
          <w:rFonts w:ascii="Calibri" w:hAnsi="Calibri" w:eastAsia="Calibri" w:cs="Calibri"/>
          <w:i/>
          <w:iCs/>
          <w:color w:val="000000"/>
          <w:sz w:val="22"/>
          <w:szCs w:val="22"/>
        </w:rPr>
        <w:t xml:space="preserve">Revista de Agricultura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316–330.</w:t>
      </w:r>
    </w:p>
    <w:p>
      <w:pPr>
        <w:widowControl w:val="on"/>
        <w:pBdr/>
        <w:spacing w:before="220" w:after="220" w:line="240" w:lineRule="auto"/>
        <w:ind w:left="0" w:right="0"/>
        <w:jc w:val="left"/>
      </w:pPr>
      <w:r>
        <w:rPr>
          <w:rFonts w:ascii="Calibri" w:hAnsi="Calibri" w:eastAsia="Calibri" w:cs="Calibri"/>
          <w:color w:val="000000"/>
          <w:sz w:val="22"/>
          <w:szCs w:val="22"/>
        </w:rPr>
        <w:t xml:space="preserve">Lima AMdC (1945) 140. </w:t>
      </w:r>
      <w:r>
        <w:rPr>
          <w:rFonts w:ascii="Calibri" w:hAnsi="Calibri" w:eastAsia="Calibri" w:cs="Calibri"/>
          <w:i/>
          <w:iCs/>
          <w:color w:val="000000"/>
          <w:sz w:val="22"/>
          <w:szCs w:val="22"/>
        </w:rPr>
        <w:t xml:space="preserve">Gymnandrosoma aurantianum </w:t>
      </w:r>
      <w:r>
        <w:rPr>
          <w:rFonts w:ascii="Calibri" w:hAnsi="Calibri" w:eastAsia="Calibri" w:cs="Calibri"/>
          <w:color w:val="000000"/>
          <w:sz w:val="22"/>
          <w:szCs w:val="22"/>
        </w:rPr>
        <w:t xml:space="preserve">Costa Lima, 1927. Insetos do Brasil 5. Tomo Lepidópteros parte 1. </w:t>
      </w:r>
      <w:r>
        <w:rPr>
          <w:rFonts w:ascii="Calibri" w:hAnsi="Calibri" w:eastAsia="Calibri" w:cs="Calibri"/>
          <w:i/>
          <w:iCs/>
          <w:color w:val="000000"/>
          <w:sz w:val="22"/>
          <w:szCs w:val="22"/>
        </w:rPr>
        <w:t xml:space="preserve">Escola Nacional de Agronomia, Série Didática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347–353.</w:t>
      </w:r>
    </w:p>
    <w:p>
      <w:pPr>
        <w:widowControl w:val="on"/>
        <w:pBdr/>
        <w:spacing w:before="220" w:after="220" w:line="240" w:lineRule="auto"/>
        <w:ind w:left="0" w:right="0"/>
        <w:jc w:val="left"/>
      </w:pPr>
      <w:r>
        <w:rPr>
          <w:rFonts w:ascii="Calibri" w:hAnsi="Calibri" w:eastAsia="Calibri" w:cs="Calibri"/>
          <w:color w:val="000000"/>
          <w:sz w:val="22"/>
          <w:szCs w:val="22"/>
        </w:rPr>
        <w:t xml:space="preserve">Molet T, Marchant W &amp; Morales L (2018) CPHST Pest Datasheet for </w:t>
      </w:r>
      <w:r>
        <w:rPr>
          <w:rFonts w:ascii="Calibri" w:hAnsi="Calibri" w:eastAsia="Calibri" w:cs="Calibri"/>
          <w:i/>
          <w:iCs/>
          <w:color w:val="000000"/>
          <w:sz w:val="22"/>
          <w:szCs w:val="22"/>
        </w:rPr>
        <w:t xml:space="preserve">Gymnandrosoma aurantianum</w:t>
      </w:r>
      <w:r>
        <w:rPr>
          <w:rFonts w:ascii="Calibri" w:hAnsi="Calibri" w:eastAsia="Calibri" w:cs="Calibri"/>
          <w:color w:val="000000"/>
          <w:sz w:val="22"/>
          <w:szCs w:val="22"/>
        </w:rPr>
        <w:t xml:space="preserve">. USDA-APHIS-PPQ-CPHST (USA).</w:t>
      </w:r>
    </w:p>
    <w:p>
      <w:pPr>
        <w:widowControl w:val="on"/>
        <w:pBdr/>
        <w:spacing w:before="220" w:after="220" w:line="240" w:lineRule="auto"/>
        <w:ind w:left="0" w:right="0"/>
        <w:jc w:val="left"/>
      </w:pPr>
      <w:r>
        <w:rPr>
          <w:rFonts w:ascii="Calibri" w:hAnsi="Calibri" w:eastAsia="Calibri" w:cs="Calibri"/>
          <w:color w:val="000000"/>
          <w:sz w:val="22"/>
          <w:szCs w:val="22"/>
        </w:rPr>
        <w:t xml:space="preserve">Muñoz AC, Lizcano CES &amp; Prado MM (2018) Reconocimiento, daño y opciones de manejo de </w:t>
      </w:r>
      <w:r>
        <w:rPr>
          <w:rFonts w:ascii="Calibri" w:hAnsi="Calibri" w:eastAsia="Calibri" w:cs="Calibri"/>
          <w:i/>
          <w:iCs/>
          <w:color w:val="000000"/>
          <w:sz w:val="22"/>
          <w:szCs w:val="22"/>
        </w:rPr>
        <w:t xml:space="preserve">Carmenta foraseminis </w:t>
      </w:r>
      <w:r>
        <w:rPr>
          <w:rFonts w:ascii="Calibri" w:hAnsi="Calibri" w:eastAsia="Calibri" w:cs="Calibri"/>
          <w:color w:val="000000"/>
          <w:sz w:val="22"/>
          <w:szCs w:val="22"/>
        </w:rPr>
        <w:t xml:space="preserve">Eichlin (Lepidóptera: Sesiidae), perforador del fruto y semilla de cacao </w:t>
      </w:r>
      <w:r>
        <w:rPr>
          <w:rFonts w:ascii="Calibri" w:hAnsi="Calibri" w:eastAsia="Calibri" w:cs="Calibri"/>
          <w:i/>
          <w:iCs/>
          <w:color w:val="000000"/>
          <w:sz w:val="22"/>
          <w:szCs w:val="22"/>
        </w:rPr>
        <w:t xml:space="preserve">Theobroma cacao </w:t>
      </w:r>
      <w:r>
        <w:rPr>
          <w:rFonts w:ascii="Calibri" w:hAnsi="Calibri" w:eastAsia="Calibri" w:cs="Calibri"/>
          <w:color w:val="000000"/>
          <w:sz w:val="22"/>
          <w:szCs w:val="22"/>
        </w:rPr>
        <w:t xml:space="preserve">L. (Malvaceae). Agrosavia, Mosquera (CO).</w:t>
      </w:r>
    </w:p>
    <w:p>
      <w:pPr>
        <w:widowControl w:val="on"/>
        <w:pBdr/>
        <w:spacing w:before="220" w:after="220" w:line="240" w:lineRule="auto"/>
        <w:ind w:left="0" w:right="0"/>
        <w:jc w:val="left"/>
      </w:pPr>
      <w:r>
        <w:rPr>
          <w:rFonts w:ascii="Calibri" w:hAnsi="Calibri" w:eastAsia="Calibri" w:cs="Calibri"/>
          <w:color w:val="000000"/>
          <w:sz w:val="22"/>
          <w:szCs w:val="22"/>
        </w:rPr>
        <w:t xml:space="preserve">Nakayama K (2018) Surto de lepidobrocas atacando frutos de cacaueiro Boletim Técnico. Ministério da Agricultura, Pecuária e Abastecimento, Ilhéus (BA).</w:t>
      </w:r>
    </w:p>
    <w:p>
      <w:pPr>
        <w:widowControl w:val="on"/>
        <w:pBdr/>
        <w:spacing w:before="220" w:after="220" w:line="240" w:lineRule="auto"/>
        <w:ind w:left="0" w:right="0"/>
        <w:jc w:val="left"/>
      </w:pPr>
      <w:r>
        <w:rPr>
          <w:rFonts w:ascii="Calibri" w:hAnsi="Calibri" w:eastAsia="Calibri" w:cs="Calibri"/>
          <w:color w:val="000000"/>
          <w:sz w:val="22"/>
          <w:szCs w:val="22"/>
        </w:rPr>
        <w:t xml:space="preserve">Noboa M, Medina L &amp; Viera W (2018) First Report of </w:t>
      </w:r>
      <w:r>
        <w:rPr>
          <w:rFonts w:ascii="Calibri" w:hAnsi="Calibri" w:eastAsia="Calibri" w:cs="Calibri"/>
          <w:i/>
          <w:iCs/>
          <w:color w:val="000000"/>
          <w:sz w:val="22"/>
          <w:szCs w:val="22"/>
        </w:rPr>
        <w:t xml:space="preserve">Gynmandrosoma aurantianum </w:t>
      </w:r>
      <w:r>
        <w:rPr>
          <w:rFonts w:ascii="Calibri" w:hAnsi="Calibri" w:eastAsia="Calibri" w:cs="Calibri"/>
          <w:color w:val="000000"/>
          <w:sz w:val="22"/>
          <w:szCs w:val="22"/>
        </w:rPr>
        <w:t xml:space="preserve">(Lepidoptera: Tortricidae) in Mandarin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in the Inter-Andean Valleys of Ecuador. </w:t>
      </w:r>
      <w:r>
        <w:rPr>
          <w:rFonts w:ascii="Calibri" w:hAnsi="Calibri" w:eastAsia="Calibri" w:cs="Calibri"/>
          <w:i/>
          <w:iCs/>
          <w:color w:val="000000"/>
          <w:sz w:val="22"/>
          <w:szCs w:val="22"/>
        </w:rPr>
        <w:t xml:space="preserve">Florida Entomologist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699–701.</w:t>
      </w:r>
    </w:p>
    <w:p>
      <w:pPr>
        <w:widowControl w:val="on"/>
        <w:pBdr/>
        <w:spacing w:before="220" w:after="220" w:line="240" w:lineRule="auto"/>
        <w:ind w:left="0" w:right="0"/>
        <w:jc w:val="left"/>
      </w:pPr>
      <w:r>
        <w:rPr>
          <w:rFonts w:ascii="Calibri" w:hAnsi="Calibri" w:eastAsia="Calibri" w:cs="Calibri"/>
          <w:color w:val="000000"/>
          <w:sz w:val="22"/>
          <w:szCs w:val="22"/>
        </w:rPr>
        <w:t xml:space="preserve">Parra JRP (2016) Sustainable Pest Control for Citrus Production in Brazil. Presentation. International Citrus Congress, 18-23 September 2016. Foz do Iguacu (BA).</w:t>
      </w:r>
    </w:p>
    <w:p>
      <w:pPr>
        <w:widowControl w:val="on"/>
        <w:pBdr/>
        <w:spacing w:before="220" w:after="220" w:line="240" w:lineRule="auto"/>
        <w:ind w:left="0" w:right="0"/>
        <w:jc w:val="left"/>
      </w:pPr>
      <w:r>
        <w:rPr>
          <w:rFonts w:ascii="Calibri" w:hAnsi="Calibri" w:eastAsia="Calibri" w:cs="Calibri"/>
          <w:color w:val="000000"/>
          <w:sz w:val="22"/>
          <w:szCs w:val="22"/>
        </w:rPr>
        <w:t xml:space="preserve">Parra JRP, Bento JMS, Garcia MS, Yamamoto PT, Vilela EF &amp; Leal WS (2004) Development of a control alternative for the citrus fruit borer, </w:t>
      </w:r>
      <w:r>
        <w:rPr>
          <w:rFonts w:ascii="Calibri" w:hAnsi="Calibri" w:eastAsia="Calibri" w:cs="Calibri"/>
          <w:i/>
          <w:iCs/>
          <w:color w:val="000000"/>
          <w:sz w:val="22"/>
          <w:szCs w:val="22"/>
        </w:rPr>
        <w:t xml:space="preserve">Ecdytolopha aurantiana </w:t>
      </w:r>
      <w:r>
        <w:rPr>
          <w:rFonts w:ascii="Calibri" w:hAnsi="Calibri" w:eastAsia="Calibri" w:cs="Calibri"/>
          <w:color w:val="000000"/>
          <w:sz w:val="22"/>
          <w:szCs w:val="22"/>
        </w:rPr>
        <w:t xml:space="preserve">(Lepidoptera, Tortricidae): from basic research to the grower. </w:t>
      </w:r>
      <w:r>
        <w:rPr>
          <w:rFonts w:ascii="Calibri" w:hAnsi="Calibri" w:eastAsia="Calibri" w:cs="Calibri"/>
          <w:i/>
          <w:iCs/>
          <w:color w:val="000000"/>
          <w:sz w:val="22"/>
          <w:szCs w:val="22"/>
        </w:rPr>
        <w:t xml:space="preserve">Revista Brasileira de Entomologia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561–567.</w:t>
      </w:r>
    </w:p>
    <w:p>
      <w:pPr>
        <w:widowControl w:val="on"/>
        <w:pBdr/>
        <w:spacing w:before="220" w:after="220" w:line="240" w:lineRule="auto"/>
        <w:ind w:left="0" w:right="0"/>
        <w:jc w:val="left"/>
      </w:pPr>
      <w:r>
        <w:rPr>
          <w:rFonts w:ascii="Calibri" w:hAnsi="Calibri" w:eastAsia="Calibri" w:cs="Calibri"/>
          <w:color w:val="000000"/>
          <w:sz w:val="22"/>
          <w:szCs w:val="22"/>
        </w:rPr>
        <w:t xml:space="preserve">Primo Miranda C (2003) Cultivo de macadamia (</w:t>
      </w:r>
      <w:r>
        <w:rPr>
          <w:rFonts w:ascii="Calibri" w:hAnsi="Calibri" w:eastAsia="Calibri" w:cs="Calibri"/>
          <w:i/>
          <w:iCs/>
          <w:color w:val="000000"/>
          <w:sz w:val="22"/>
          <w:szCs w:val="22"/>
        </w:rPr>
        <w:t xml:space="preserve">Macadamia integrifolia</w:t>
      </w:r>
      <w:r>
        <w:rPr>
          <w:rFonts w:ascii="Calibri" w:hAnsi="Calibri" w:eastAsia="Calibri" w:cs="Calibri"/>
          <w:color w:val="000000"/>
          <w:sz w:val="22"/>
          <w:szCs w:val="22"/>
        </w:rPr>
        <w:t xml:space="preserve">), control biológico del barrenador de la nuez macadamia (</w:t>
      </w:r>
      <w:r>
        <w:rPr>
          <w:rFonts w:ascii="Calibri" w:hAnsi="Calibri" w:eastAsia="Calibri" w:cs="Calibri"/>
          <w:i/>
          <w:iCs/>
          <w:color w:val="000000"/>
          <w:sz w:val="22"/>
          <w:szCs w:val="22"/>
        </w:rPr>
        <w:t xml:space="preserve">Ecdytolopha torticornis</w:t>
      </w:r>
      <w:r>
        <w:rPr>
          <w:rFonts w:ascii="Calibri" w:hAnsi="Calibri" w:eastAsia="Calibri" w:cs="Calibri"/>
          <w:color w:val="000000"/>
          <w:sz w:val="22"/>
          <w:szCs w:val="22"/>
        </w:rPr>
        <w:t xml:space="preserve">), con tres diferentes niveles de concentración del hongo. Tesis de graduación profesional (2002). Summary.</w:t>
      </w:r>
    </w:p>
    <w:p>
      <w:pPr>
        <w:widowControl w:val="on"/>
        <w:pBdr/>
        <w:spacing w:before="220" w:after="220" w:line="240" w:lineRule="auto"/>
        <w:ind w:left="0" w:right="0"/>
        <w:jc w:val="left"/>
      </w:pPr>
      <w:r>
        <w:rPr>
          <w:rFonts w:ascii="Calibri" w:hAnsi="Calibri" w:eastAsia="Calibri" w:cs="Calibri"/>
          <w:color w:val="000000"/>
          <w:sz w:val="22"/>
          <w:szCs w:val="22"/>
        </w:rPr>
        <w:t xml:space="preserve">Reis R Jr, Parra JRP &amp; Bento JMS (2005) Desenvolvimento de um modelo para previsão de ocorrência do bicho-furão-dos-citros, </w:t>
      </w:r>
      <w:r>
        <w:rPr>
          <w:rFonts w:ascii="Calibri" w:hAnsi="Calibri" w:eastAsia="Calibri" w:cs="Calibri"/>
          <w:i/>
          <w:iCs/>
          <w:color w:val="000000"/>
          <w:sz w:val="22"/>
          <w:szCs w:val="22"/>
        </w:rPr>
        <w:t xml:space="preserve">Ecdytolopha aurantiana </w:t>
      </w:r>
      <w:r>
        <w:rPr>
          <w:rFonts w:ascii="Calibri" w:hAnsi="Calibri" w:eastAsia="Calibri" w:cs="Calibri"/>
          <w:color w:val="000000"/>
          <w:sz w:val="22"/>
          <w:szCs w:val="22"/>
        </w:rPr>
        <w:t xml:space="preserve">(Lima) (Lepidoptera: Tortricidae). </w:t>
      </w:r>
      <w:r>
        <w:rPr>
          <w:rFonts w:ascii="Calibri" w:hAnsi="Calibri" w:eastAsia="Calibri" w:cs="Calibri"/>
          <w:i/>
          <w:iCs/>
          <w:color w:val="000000"/>
          <w:sz w:val="22"/>
          <w:szCs w:val="22"/>
        </w:rPr>
        <w:t xml:space="preserve">Neotropical Entomology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627–637.</w:t>
      </w:r>
    </w:p>
    <w:p>
      <w:pPr>
        <w:widowControl w:val="on"/>
        <w:pBdr/>
        <w:spacing w:before="220" w:after="220" w:line="240" w:lineRule="auto"/>
        <w:ind w:left="0" w:right="0"/>
        <w:jc w:val="left"/>
      </w:pPr>
      <w:r>
        <w:rPr>
          <w:rFonts w:ascii="Calibri" w:hAnsi="Calibri" w:eastAsia="Calibri" w:cs="Calibri"/>
          <w:color w:val="000000"/>
          <w:sz w:val="22"/>
          <w:szCs w:val="22"/>
        </w:rPr>
        <w:t xml:space="preserve">Soares de Matos ST, dos Santos-Cividanes TM, Cividanes FJ, dos Santos LC, Suguino E &amp; Ribeiro AA (2019) First record of lepidopteran borers in Macadamia nuts in Brazil. </w:t>
      </w:r>
      <w:r>
        <w:rPr>
          <w:rFonts w:ascii="Calibri" w:hAnsi="Calibri" w:eastAsia="Calibri" w:cs="Calibri"/>
          <w:i/>
          <w:iCs/>
          <w:color w:val="000000"/>
          <w:sz w:val="22"/>
          <w:szCs w:val="22"/>
        </w:rPr>
        <w:t xml:space="preserve">Florida Entomologist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649–650.</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(2003) Importation of Fresh Commercial Citrus Fruit: Grapefruit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x </w:t>
      </w:r>
      <w:r>
        <w:rPr>
          <w:rFonts w:ascii="Calibri" w:hAnsi="Calibri" w:eastAsia="Calibri" w:cs="Calibri"/>
          <w:i/>
          <w:iCs/>
          <w:color w:val="000000"/>
          <w:sz w:val="22"/>
          <w:szCs w:val="22"/>
        </w:rPr>
        <w:t xml:space="preserve">paradisi </w:t>
      </w:r>
      <w:r>
        <w:rPr>
          <w:rFonts w:ascii="Calibri" w:hAnsi="Calibri" w:eastAsia="Calibri" w:cs="Calibri"/>
          <w:color w:val="000000"/>
          <w:sz w:val="22"/>
          <w:szCs w:val="22"/>
        </w:rPr>
        <w:t xml:space="preserve">Macfad.); Lime (</w:t>
      </w:r>
      <w:r>
        <w:rPr>
          <w:rFonts w:ascii="Calibri" w:hAnsi="Calibri" w:eastAsia="Calibri" w:cs="Calibri"/>
          <w:i/>
          <w:iCs/>
          <w:color w:val="000000"/>
          <w:sz w:val="22"/>
          <w:szCs w:val="22"/>
        </w:rPr>
        <w:t xml:space="preserve">C. aurantiifolia </w:t>
      </w:r>
      <w:r>
        <w:rPr>
          <w:rFonts w:ascii="Calibri" w:hAnsi="Calibri" w:eastAsia="Calibri" w:cs="Calibri"/>
          <w:color w:val="000000"/>
          <w:sz w:val="22"/>
          <w:szCs w:val="22"/>
        </w:rPr>
        <w:t xml:space="preserve">[Christm.] Swingle); Mandarin Orange or Tangerine (</w:t>
      </w:r>
      <w:r>
        <w:rPr>
          <w:rFonts w:ascii="Calibri" w:hAnsi="Calibri" w:eastAsia="Calibri" w:cs="Calibri"/>
          <w:i/>
          <w:iCs/>
          <w:color w:val="000000"/>
          <w:sz w:val="22"/>
          <w:szCs w:val="22"/>
        </w:rPr>
        <w:t xml:space="preserve">C. reticulata </w:t>
      </w:r>
      <w:r>
        <w:rPr>
          <w:rFonts w:ascii="Calibri" w:hAnsi="Calibri" w:eastAsia="Calibri" w:cs="Calibri"/>
          <w:color w:val="000000"/>
          <w:sz w:val="22"/>
          <w:szCs w:val="22"/>
        </w:rPr>
        <w:t xml:space="preserve">Blanco); Sweet Orange (</w:t>
      </w:r>
      <w:r>
        <w:rPr>
          <w:rFonts w:ascii="Calibri" w:hAnsi="Calibri" w:eastAsia="Calibri" w:cs="Calibri"/>
          <w:i/>
          <w:iCs/>
          <w:color w:val="000000"/>
          <w:sz w:val="22"/>
          <w:szCs w:val="22"/>
        </w:rPr>
        <w:t xml:space="preserve">C. sinensis </w:t>
      </w:r>
      <w:r>
        <w:rPr>
          <w:rFonts w:ascii="Calibri" w:hAnsi="Calibri" w:eastAsia="Calibri" w:cs="Calibri"/>
          <w:color w:val="000000"/>
          <w:sz w:val="22"/>
          <w:szCs w:val="22"/>
        </w:rPr>
        <w:t xml:space="preserve">[L.] Osbeck); Tangelo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tangelo </w:t>
      </w:r>
      <w:r>
        <w:rPr>
          <w:rFonts w:ascii="Calibri" w:hAnsi="Calibri" w:eastAsia="Calibri" w:cs="Calibri"/>
          <w:color w:val="000000"/>
          <w:sz w:val="22"/>
          <w:szCs w:val="22"/>
        </w:rPr>
        <w:t xml:space="preserve">J.W. Ingra &amp; H.E. Moore); from Peru into the United States. United States Department of Agriculture, (USA).</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(2012) Importation of Fresh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Fruit, including Sweet Orange (</w:t>
      </w:r>
      <w:r>
        <w:rPr>
          <w:rFonts w:ascii="Calibri" w:hAnsi="Calibri" w:eastAsia="Calibri" w:cs="Calibri"/>
          <w:i/>
          <w:iCs/>
          <w:color w:val="000000"/>
          <w:sz w:val="22"/>
          <w:szCs w:val="22"/>
        </w:rPr>
        <w:t xml:space="preserve">Citrus sinensis </w:t>
      </w:r>
      <w:r>
        <w:rPr>
          <w:rFonts w:ascii="Calibri" w:hAnsi="Calibri" w:eastAsia="Calibri" w:cs="Calibri"/>
          <w:color w:val="000000"/>
          <w:sz w:val="22"/>
          <w:szCs w:val="22"/>
        </w:rPr>
        <w:t xml:space="preserve">(L.) Osbeck), Lemon (</w:t>
      </w:r>
      <w:r>
        <w:rPr>
          <w:rFonts w:ascii="Calibri" w:hAnsi="Calibri" w:eastAsia="Calibri" w:cs="Calibri"/>
          <w:i/>
          <w:iCs/>
          <w:color w:val="000000"/>
          <w:sz w:val="22"/>
          <w:szCs w:val="22"/>
        </w:rPr>
        <w:t xml:space="preserve">C. limon </w:t>
      </w:r>
      <w:r>
        <w:rPr>
          <w:rFonts w:ascii="Calibri" w:hAnsi="Calibri" w:eastAsia="Calibri" w:cs="Calibri"/>
          <w:color w:val="000000"/>
          <w:sz w:val="22"/>
          <w:szCs w:val="22"/>
        </w:rPr>
        <w:t xml:space="preserve">(L.) Burm. f.), Mandarin (</w:t>
      </w:r>
      <w:r>
        <w:rPr>
          <w:rFonts w:ascii="Calibri" w:hAnsi="Calibri" w:eastAsia="Calibri" w:cs="Calibri"/>
          <w:i/>
          <w:iCs/>
          <w:color w:val="000000"/>
          <w:sz w:val="22"/>
          <w:szCs w:val="22"/>
        </w:rPr>
        <w:t xml:space="preserve">C. reticulata </w:t>
      </w:r>
      <w:r>
        <w:rPr>
          <w:rFonts w:ascii="Calibri" w:hAnsi="Calibri" w:eastAsia="Calibri" w:cs="Calibri"/>
          <w:color w:val="000000"/>
          <w:sz w:val="22"/>
          <w:szCs w:val="22"/>
        </w:rPr>
        <w:t xml:space="preserve">Blanco, </w:t>
      </w:r>
      <w:r>
        <w:rPr>
          <w:rFonts w:ascii="Calibri" w:hAnsi="Calibri" w:eastAsia="Calibri" w:cs="Calibri"/>
          <w:i/>
          <w:iCs/>
          <w:color w:val="000000"/>
          <w:sz w:val="22"/>
          <w:szCs w:val="22"/>
        </w:rPr>
        <w:t xml:space="preserve">C. clementina </w:t>
      </w:r>
      <w:r>
        <w:rPr>
          <w:rFonts w:ascii="Calibri" w:hAnsi="Calibri" w:eastAsia="Calibri" w:cs="Calibri"/>
          <w:color w:val="000000"/>
          <w:sz w:val="22"/>
          <w:szCs w:val="22"/>
        </w:rPr>
        <w:t xml:space="preserve">Hort. Ex Tanaka, </w:t>
      </w:r>
      <w:r>
        <w:rPr>
          <w:rFonts w:ascii="Calibri" w:hAnsi="Calibri" w:eastAsia="Calibri" w:cs="Calibri"/>
          <w:i/>
          <w:iCs/>
          <w:color w:val="000000"/>
          <w:sz w:val="22"/>
          <w:szCs w:val="22"/>
        </w:rPr>
        <w:t xml:space="preserve">C. deliciosa </w:t>
      </w:r>
      <w:r>
        <w:rPr>
          <w:rFonts w:ascii="Calibri" w:hAnsi="Calibri" w:eastAsia="Calibri" w:cs="Calibri"/>
          <w:color w:val="000000"/>
          <w:sz w:val="22"/>
          <w:szCs w:val="22"/>
        </w:rPr>
        <w:t xml:space="preserve">Ten., </w:t>
      </w:r>
      <w:r>
        <w:rPr>
          <w:rFonts w:ascii="Calibri" w:hAnsi="Calibri" w:eastAsia="Calibri" w:cs="Calibri"/>
          <w:i/>
          <w:iCs/>
          <w:color w:val="000000"/>
          <w:sz w:val="22"/>
          <w:szCs w:val="22"/>
        </w:rPr>
        <w:t xml:space="preserve">C. unshiu </w:t>
      </w:r>
      <w:r>
        <w:rPr>
          <w:rFonts w:ascii="Calibri" w:hAnsi="Calibri" w:eastAsia="Calibri" w:cs="Calibri"/>
          <w:color w:val="000000"/>
          <w:sz w:val="22"/>
          <w:szCs w:val="22"/>
        </w:rPr>
        <w:t xml:space="preserve">Marcow.),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Hybrids, and the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-Related Genus </w:t>
      </w:r>
      <w:r>
        <w:rPr>
          <w:rFonts w:ascii="Calibri" w:hAnsi="Calibri" w:eastAsia="Calibri" w:cs="Calibri"/>
          <w:i/>
          <w:iCs/>
          <w:color w:val="000000"/>
          <w:sz w:val="22"/>
          <w:szCs w:val="22"/>
        </w:rPr>
        <w:t xml:space="preserve">Fortunella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F. japonica </w:t>
      </w:r>
      <w:r>
        <w:rPr>
          <w:rFonts w:ascii="Calibri" w:hAnsi="Calibri" w:eastAsia="Calibri" w:cs="Calibri"/>
          <w:color w:val="000000"/>
          <w:sz w:val="22"/>
          <w:szCs w:val="22"/>
        </w:rPr>
        <w:t xml:space="preserve">(Thunb.) Swingle, </w:t>
      </w:r>
      <w:r>
        <w:rPr>
          <w:rFonts w:ascii="Calibri" w:hAnsi="Calibri" w:eastAsia="Calibri" w:cs="Calibri"/>
          <w:i/>
          <w:iCs/>
          <w:color w:val="000000"/>
          <w:sz w:val="22"/>
          <w:szCs w:val="22"/>
        </w:rPr>
        <w:t xml:space="preserve">F. margarita </w:t>
      </w:r>
      <w:r>
        <w:rPr>
          <w:rFonts w:ascii="Calibri" w:hAnsi="Calibri" w:eastAsia="Calibri" w:cs="Calibri"/>
          <w:color w:val="000000"/>
          <w:sz w:val="22"/>
          <w:szCs w:val="22"/>
        </w:rPr>
        <w:t xml:space="preserve">(Lour.) Swingle), from Uruguay into the Continental United States. United States Department of Agriculture (USA)</w:t>
      </w:r>
    </w:p>
    <w:p>
      <w:pPr>
        <w:widowControl w:val="on"/>
        <w:pBdr/>
        <w:spacing w:before="220" w:after="220" w:line="240" w:lineRule="auto"/>
        <w:ind w:left="0" w:right="0"/>
        <w:jc w:val="left"/>
      </w:pPr>
      <w:r>
        <w:rPr>
          <w:rFonts w:ascii="Calibri" w:hAnsi="Calibri" w:eastAsia="Calibri" w:cs="Calibri"/>
          <w:color w:val="000000"/>
          <w:sz w:val="22"/>
          <w:szCs w:val="22"/>
        </w:rPr>
        <w:t xml:space="preserve">Vianna UR (2015) Capítulo 2, Bicho-Furão. In </w:t>
      </w:r>
      <w:r>
        <w:rPr>
          <w:rFonts w:ascii="Calibri" w:hAnsi="Calibri" w:eastAsia="Calibri" w:cs="Calibri"/>
          <w:i/>
          <w:iCs/>
          <w:color w:val="000000"/>
          <w:sz w:val="22"/>
          <w:szCs w:val="22"/>
        </w:rPr>
        <w:t xml:space="preserve">Pragas emergentes no Estado do Espírito Santo, 1a edição</w:t>
      </w:r>
      <w:r>
        <w:rPr>
          <w:rFonts w:ascii="Calibri" w:hAnsi="Calibri" w:eastAsia="Calibri" w:cs="Calibri"/>
          <w:color w:val="000000"/>
          <w:sz w:val="22"/>
          <w:szCs w:val="22"/>
        </w:rPr>
        <w:t xml:space="preserve">. 142 pp. Alegre, Espírito Santo (BA).</w:t>
      </w:r>
    </w:p>
    <w:p>
      <w:pPr>
        <w:widowControl w:val="on"/>
        <w:pBdr/>
        <w:spacing w:before="220" w:after="220" w:line="240" w:lineRule="auto"/>
        <w:ind w:left="0" w:right="0"/>
        <w:jc w:val="left"/>
      </w:pPr>
      <w:r>
        <w:rPr>
          <w:rFonts w:ascii="Calibri" w:hAnsi="Calibri" w:eastAsia="Calibri" w:cs="Calibri"/>
          <w:color w:val="000000"/>
          <w:sz w:val="22"/>
          <w:szCs w:val="22"/>
        </w:rPr>
        <w:t xml:space="preserve">White G &amp; Tuck K (1993) Outbreak of </w:t>
      </w:r>
      <w:r>
        <w:rPr>
          <w:rFonts w:ascii="Calibri" w:hAnsi="Calibri" w:eastAsia="Calibri" w:cs="Calibri"/>
          <w:i/>
          <w:iCs/>
          <w:color w:val="000000"/>
          <w:sz w:val="22"/>
          <w:szCs w:val="22"/>
        </w:rPr>
        <w:t xml:space="preserve">Ecdytolopha aurantianum </w:t>
      </w:r>
      <w:r>
        <w:rPr>
          <w:rFonts w:ascii="Calibri" w:hAnsi="Calibri" w:eastAsia="Calibri" w:cs="Calibri"/>
          <w:color w:val="000000"/>
          <w:sz w:val="22"/>
          <w:szCs w:val="22"/>
        </w:rPr>
        <w:t xml:space="preserve">(Lima) on citrus in Trinidad. </w:t>
      </w:r>
      <w:r>
        <w:rPr>
          <w:rFonts w:ascii="Calibri" w:hAnsi="Calibri" w:eastAsia="Calibri" w:cs="Calibri"/>
          <w:i/>
          <w:iCs/>
          <w:color w:val="000000"/>
          <w:sz w:val="22"/>
          <w:szCs w:val="22"/>
        </w:rPr>
        <w:t xml:space="preserve">FAO Plant Protection Bulletin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130–132.</w:t>
      </w:r>
    </w:p>
    <w:p>
      <w:pPr>
        <w:widowControl w:val="on"/>
        <w:pBdr/>
        <w:spacing w:before="220" w:after="220" w:line="240" w:lineRule="auto"/>
        <w:ind w:left="0" w:right="0"/>
        <w:jc w:val="left"/>
      </w:pPr>
      <w:r>
        <w:rPr>
          <w:rFonts w:ascii="Calibri" w:hAnsi="Calibri" w:eastAsia="Calibri" w:cs="Calibri"/>
          <w:color w:val="000000"/>
          <w:sz w:val="22"/>
          <w:szCs w:val="22"/>
        </w:rPr>
        <w:t xml:space="preserve">White GL (1999) </w:t>
      </w:r>
      <w:r>
        <w:rPr>
          <w:rFonts w:ascii="Calibri" w:hAnsi="Calibri" w:eastAsia="Calibri" w:cs="Calibri"/>
          <w:i/>
          <w:iCs/>
          <w:color w:val="000000"/>
          <w:sz w:val="22"/>
          <w:szCs w:val="22"/>
        </w:rPr>
        <w:t xml:space="preserve">Sapindus saponaria </w:t>
      </w:r>
      <w:r>
        <w:rPr>
          <w:rFonts w:ascii="Calibri" w:hAnsi="Calibri" w:eastAsia="Calibri" w:cs="Calibri"/>
          <w:color w:val="000000"/>
          <w:sz w:val="22"/>
          <w:szCs w:val="22"/>
        </w:rPr>
        <w:t xml:space="preserve">L. (Sapindaceae), a new host of </w:t>
      </w:r>
      <w:r>
        <w:rPr>
          <w:rFonts w:ascii="Calibri" w:hAnsi="Calibri" w:eastAsia="Calibri" w:cs="Calibri"/>
          <w:i/>
          <w:iCs/>
          <w:color w:val="000000"/>
          <w:sz w:val="22"/>
          <w:szCs w:val="22"/>
        </w:rPr>
        <w:t xml:space="preserve">Ecdytolopha aurantianum </w:t>
      </w:r>
      <w:r>
        <w:rPr>
          <w:rFonts w:ascii="Calibri" w:hAnsi="Calibri" w:eastAsia="Calibri" w:cs="Calibri"/>
          <w:color w:val="000000"/>
          <w:sz w:val="22"/>
          <w:szCs w:val="22"/>
        </w:rPr>
        <w:t xml:space="preserve">(Lima) (Lepidoptera: Tortricidae: Olethreutinae). </w:t>
      </w:r>
      <w:r>
        <w:rPr>
          <w:rFonts w:ascii="Calibri" w:hAnsi="Calibri" w:eastAsia="Calibri" w:cs="Calibri"/>
          <w:i/>
          <w:iCs/>
          <w:color w:val="000000"/>
          <w:sz w:val="22"/>
          <w:szCs w:val="22"/>
        </w:rPr>
        <w:t xml:space="preserve">International Journal of Pest Management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287–291.</w:t>
      </w:r>
    </w:p>
    <w:p>
      <w:pPr>
        <w:widowControl w:val="on"/>
        <w:pBdr/>
        <w:spacing w:before="220" w:after="220" w:line="240" w:lineRule="auto"/>
        <w:ind w:left="0" w:right="0"/>
        <w:jc w:val="left"/>
      </w:pPr>
      <w:r>
        <w:rPr>
          <w:rFonts w:ascii="Calibri" w:hAnsi="Calibri" w:eastAsia="Calibri" w:cs="Calibri"/>
          <w:color w:val="000000"/>
          <w:sz w:val="22"/>
          <w:szCs w:val="22"/>
        </w:rPr>
        <w:t xml:space="preserve">Yamamoto P, Molina J, Felippe M &amp; Nociti L (2006) Monitoramento de </w:t>
      </w:r>
      <w:r>
        <w:rPr>
          <w:rFonts w:ascii="Calibri" w:hAnsi="Calibri" w:eastAsia="Calibri" w:cs="Calibri"/>
          <w:i/>
          <w:iCs/>
          <w:color w:val="000000"/>
          <w:sz w:val="22"/>
          <w:szCs w:val="22"/>
        </w:rPr>
        <w:t xml:space="preserve">Ecdytolopha aurantiana </w:t>
      </w:r>
      <w:r>
        <w:rPr>
          <w:rFonts w:ascii="Calibri" w:hAnsi="Calibri" w:eastAsia="Calibri" w:cs="Calibri"/>
          <w:color w:val="000000"/>
          <w:sz w:val="22"/>
          <w:szCs w:val="22"/>
        </w:rPr>
        <w:t xml:space="preserve">(Lima) em Laranjeira Valência com Feromônio Sexual. </w:t>
      </w:r>
      <w:r>
        <w:rPr>
          <w:rFonts w:ascii="Calibri" w:hAnsi="Calibri" w:eastAsia="Calibri" w:cs="Calibri"/>
          <w:i/>
          <w:iCs/>
          <w:color w:val="000000"/>
          <w:sz w:val="22"/>
          <w:szCs w:val="22"/>
        </w:rPr>
        <w:t xml:space="preserve">BioAssay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by the EPPO Secretariat based on the pest risk analysis produced by an EPPO expert working group in 2020. The expert working group was composed of H. Blanco-Metzler (Universidad de Costa Rica, Costa Rica), M. Fernández Gallego (Tecnologías y Servicios Agrarios, Spain), L. Montecchio (Università di Padova, Italy) and N. Üstün (Ministry of Agriculture and Forestry, Turkey).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Gymnandrosoma aurantianum</w:t>
      </w:r>
      <w:r>
        <w:rPr>
          <w:rFonts w:ascii="Calibri" w:hAnsi="Calibri" w:eastAsia="Calibri" w:cs="Calibri"/>
          <w:color w:val="000000"/>
          <w:sz w:val="22"/>
          <w:szCs w:val="22"/>
        </w:rPr>
        <w:t xml:space="preserve">. EPPO datasheets on pests recommended for regulation. Available online. </w:t>
      </w:r>
      <w:hyperlink r:id="rId9189668500bc6b04e"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0" w:after="0" w:line="240" w:lineRule="auto"/>
        <w:ind w:left="0" w:right="0"/>
        <w:jc w:val="left"/>
      </w:pPr>
      <w:r>
        <w:rPr>
          <w:rFonts w:ascii="Calibri" w:hAnsi="Calibri" w:eastAsia="Calibri" w:cs="Calibri"/>
          <w:color w:val="000000"/>
          <w:sz w:val="22"/>
          <w:szCs w:val="22"/>
        </w:rPr>
        <w:t xml:space="preserve">This datasheet was first published in the EPPO Bulletin in 2022. It is now maintained in an electronic format in the EPPO Global Database. The sections on 'Identity', ‘Hosts’, and 'Geographical distribution' are automatically updated from the database. For other sections, the date of last revision is indicated on the right.</w:t>
      </w:r>
      <w:r>
        <w:rPr>
          <w:rFonts w:ascii="Calibri" w:hAnsi="Calibri" w:eastAsia="Calibri" w:cs="Calibri"/>
          <w:color w:val="000000"/>
          <w:sz w:val="22"/>
          <w:szCs w:val="22"/>
        </w:rPr>
        <w:br/>
        <w:t xml:space="preserve"> </w:t>
      </w:r>
      <w:r>
        <w:rPr>
          <w:rFonts w:ascii="Calibri" w:hAnsi="Calibri" w:eastAsia="Calibri" w:cs="Calibri"/>
          <w:color w:val="000000"/>
          <w:sz w:val="22"/>
          <w:szCs w:val="22"/>
        </w:rPr>
        <w:br/>
        <w:t xml:space="preserve"> EPPO (2022) Datasheets on pests recommended for regulation. </w:t>
      </w:r>
      <w:r>
        <w:rPr>
          <w:rFonts w:ascii="Calibri" w:hAnsi="Calibri" w:eastAsia="Calibri" w:cs="Calibri"/>
          <w:i/>
          <w:iCs/>
          <w:color w:val="000000"/>
          <w:sz w:val="22"/>
          <w:szCs w:val="22"/>
        </w:rPr>
        <w:t xml:space="preserve">Gymnandrosoma aurantianum</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(2), 387–393. </w:t>
      </w:r>
      <w:hyperlink r:id="rId7399668500bc6b106" w:history="1">
        <w:r>
          <w:rPr>
            <w:rFonts w:ascii="Calibri" w:hAnsi="Calibri" w:eastAsia="Calibri" w:cs="Calibri"/>
            <w:color w:val="0000CC"/>
            <w:sz w:val="22"/>
            <w:szCs w:val="22"/>
            <w:u w:val="single"/>
          </w:rPr>
          <w:t xml:space="preserve">https://doi.org/10.1111/epp.12830</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2281173">
    <w:multiLevelType w:val="hybridMultilevel"/>
    <w:lvl w:ilvl="0" w:tplc="61755116">
      <w:start w:val="1"/>
      <w:numFmt w:val="decimal"/>
      <w:lvlText w:val="%1."/>
      <w:lvlJc w:val="left"/>
      <w:pPr>
        <w:ind w:left="720" w:hanging="360"/>
      </w:pPr>
    </w:lvl>
    <w:lvl w:ilvl="1" w:tplc="61755116" w:tentative="1">
      <w:start w:val="1"/>
      <w:numFmt w:val="lowerLetter"/>
      <w:lvlText w:val="%2."/>
      <w:lvlJc w:val="left"/>
      <w:pPr>
        <w:ind w:left="1440" w:hanging="360"/>
      </w:pPr>
    </w:lvl>
    <w:lvl w:ilvl="2" w:tplc="61755116" w:tentative="1">
      <w:start w:val="1"/>
      <w:numFmt w:val="lowerRoman"/>
      <w:lvlText w:val="%3."/>
      <w:lvlJc w:val="right"/>
      <w:pPr>
        <w:ind w:left="2160" w:hanging="180"/>
      </w:pPr>
    </w:lvl>
    <w:lvl w:ilvl="3" w:tplc="61755116" w:tentative="1">
      <w:start w:val="1"/>
      <w:numFmt w:val="decimal"/>
      <w:lvlText w:val="%4."/>
      <w:lvlJc w:val="left"/>
      <w:pPr>
        <w:ind w:left="2880" w:hanging="360"/>
      </w:pPr>
    </w:lvl>
    <w:lvl w:ilvl="4" w:tplc="61755116" w:tentative="1">
      <w:start w:val="1"/>
      <w:numFmt w:val="lowerLetter"/>
      <w:lvlText w:val="%5."/>
      <w:lvlJc w:val="left"/>
      <w:pPr>
        <w:ind w:left="3600" w:hanging="360"/>
      </w:pPr>
    </w:lvl>
    <w:lvl w:ilvl="5" w:tplc="61755116" w:tentative="1">
      <w:start w:val="1"/>
      <w:numFmt w:val="lowerRoman"/>
      <w:lvlText w:val="%6."/>
      <w:lvlJc w:val="right"/>
      <w:pPr>
        <w:ind w:left="4320" w:hanging="180"/>
      </w:pPr>
    </w:lvl>
    <w:lvl w:ilvl="6" w:tplc="61755116" w:tentative="1">
      <w:start w:val="1"/>
      <w:numFmt w:val="decimal"/>
      <w:lvlText w:val="%7."/>
      <w:lvlJc w:val="left"/>
      <w:pPr>
        <w:ind w:left="5040" w:hanging="360"/>
      </w:pPr>
    </w:lvl>
    <w:lvl w:ilvl="7" w:tplc="61755116" w:tentative="1">
      <w:start w:val="1"/>
      <w:numFmt w:val="lowerLetter"/>
      <w:lvlText w:val="%8."/>
      <w:lvlJc w:val="left"/>
      <w:pPr>
        <w:ind w:left="5760" w:hanging="360"/>
      </w:pPr>
    </w:lvl>
    <w:lvl w:ilvl="8" w:tplc="61755116" w:tentative="1">
      <w:start w:val="1"/>
      <w:numFmt w:val="lowerRoman"/>
      <w:lvlText w:val="%9."/>
      <w:lvlJc w:val="right"/>
      <w:pPr>
        <w:ind w:left="6480" w:hanging="180"/>
      </w:pPr>
    </w:lvl>
  </w:abstractNum>
  <w:abstractNum w:abstractNumId="82281172">
    <w:multiLevelType w:val="hybridMultilevel"/>
    <w:lvl w:ilvl="0" w:tplc="332990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2281172">
    <w:abstractNumId w:val="82281172"/>
  </w:num>
  <w:num w:numId="82281173">
    <w:abstractNumId w:val="8228117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68122104" Type="http://schemas.microsoft.com/office/2011/relationships/commentsExtended" Target="commentsExtended.xml"/><Relationship Id="rId715840416" Type="http://schemas.microsoft.com/office/2011/relationships/people" Target="people.xml"/><Relationship Id="rId9816668500bc66113" Type="http://schemas.openxmlformats.org/officeDocument/2006/relationships/hyperlink" Target="https://gd.eppo.int/taxon/ECDYAU/" TargetMode="External"/><Relationship Id="rId8914668500bc66158" Type="http://schemas.openxmlformats.org/officeDocument/2006/relationships/hyperlink" Target="https://gd.eppo.int/taxon/ECDYAU/categorization" TargetMode="External"/><Relationship Id="rId7685668500bc66b29" Type="http://schemas.openxmlformats.org/officeDocument/2006/relationships/hyperlink" Target="https://gd.eppo.int/taxon/ECDYAU/photos" TargetMode="External"/><Relationship Id="rId3125668500bc68a67" Type="http://schemas.openxmlformats.org/officeDocument/2006/relationships/hyperlink" Target="http://idtools.org/id/leps/tortai/keys/TortAILarv%20ae.html" TargetMode="External"/><Relationship Id="rId8282668500bc68e4f" Type="http://schemas.openxmlformats.org/officeDocument/2006/relationships/hyperlink" Target="http://v4.boldsystems.org/" TargetMode="External"/><Relationship Id="rId9272668500bc69c1a" Type="http://schemas.openxmlformats.org/officeDocument/2006/relationships/hyperlink" Target="http://www.respo%20statecnica.org.br" TargetMode="External"/><Relationship Id="rId8904668500bc6a1b5" Type="http://schemas.openxmlformats.org/officeDocument/2006/relationships/hyperlink" Target="http://idtoo%20ls.org/" TargetMode="External"/><Relationship Id="rId2822668500bc6a356" Type="http://schemas.openxmlformats.org/officeDocument/2006/relationships/hyperlink" Target="https://gd.eppo.int" TargetMode="External"/><Relationship Id="rId9587668500bc6a3d4" Type="http://schemas.openxmlformats.org/officeDocument/2006/relationships/hyperlink" Target="https://www.funde%20citrus.com.br/doenc%20as/bicho%20-furao" TargetMode="External"/><Relationship Id="rId7308668500bc6a591" Type="http://schemas.openxmlformats.org/officeDocument/2006/relationships/hyperlink" Target="http://idtools.org/id/leps/tortai/keys/TortAILarv%20ae.html" TargetMode="External"/><Relationship Id="rId9189668500bc6b04e" Type="http://schemas.openxmlformats.org/officeDocument/2006/relationships/hyperlink" Target="https://gd.eppo.int" TargetMode="External"/><Relationship Id="rId7399668500bc6b106" Type="http://schemas.openxmlformats.org/officeDocument/2006/relationships/hyperlink" Target="https://doi.org/10.1111/epp.12830" TargetMode="External"/><Relationship Id="rId6355668500bc669e0" Type="http://schemas.openxmlformats.org/officeDocument/2006/relationships/image" Target="media/imgrId6355668500bc669e0.jpg"/><Relationship Id="rId1114668500bc68068" Type="http://schemas.openxmlformats.org/officeDocument/2006/relationships/image" Target="media/imgrId1114668500bc68068.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