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Eotetranychus lewisi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Eotetranychus lewisi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lewisi</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Lewis spider mite</w:t>
            </w:r>
            <w:hyperlink r:id="rId7519665c2123045b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72665c2123045f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EOTELE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559799" name="name5477665c212304d6e" descr="1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2.jpg"/>
                          <pic:cNvPicPr/>
                        </pic:nvPicPr>
                        <pic:blipFill>
                          <a:blip r:embed="rId6326665c212304d6c" cstate="print"/>
                          <a:stretch>
                            <a:fillRect/>
                          </a:stretch>
                        </pic:blipFill>
                        <pic:spPr>
                          <a:xfrm>
                            <a:off x="0" y="0"/>
                            <a:ext cx="2160000" cy="1281600"/>
                          </a:xfrm>
                          <a:prstGeom prst="rect">
                            <a:avLst/>
                          </a:prstGeom>
                          <a:ln w="0">
                            <a:noFill/>
                          </a:ln>
                        </pic:spPr>
                      </pic:pic>
                    </a:graphicData>
                  </a:graphic>
                </wp:inline>
              </w:drawing>
            </w:r>
            <w:hyperlink r:id="rId7290665c212304e9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close and confusing similarity between the genus names </w:t>
      </w:r>
      <w:r>
        <w:rPr>
          <w:rFonts w:ascii="Calibri" w:hAnsi="Calibri" w:eastAsia="Calibri" w:cs="Calibri"/>
          <w:i/>
          <w:iCs/>
          <w:color w:val="000000"/>
          <w:sz w:val="22"/>
          <w:szCs w:val="22"/>
        </w:rPr>
        <w:t xml:space="preserve">Eotetranychus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Eutetranychus</w:t>
      </w:r>
      <w:r>
        <w:rPr>
          <w:rFonts w:ascii="Calibri" w:hAnsi="Calibri" w:eastAsia="Calibri" w:cs="Calibri"/>
          <w:color w:val="000000"/>
          <w:sz w:val="22"/>
          <w:szCs w:val="22"/>
        </w:rPr>
        <w:t xml:space="preserve"> causes problems in the literature. Another mite species with same specific epithet and same author, </w:t>
      </w:r>
      <w:r>
        <w:rPr>
          <w:rFonts w:ascii="Calibri" w:hAnsi="Calibri" w:eastAsia="Calibri" w:cs="Calibri"/>
          <w:i/>
          <w:iCs/>
          <w:color w:val="000000"/>
          <w:sz w:val="22"/>
          <w:szCs w:val="22"/>
        </w:rPr>
        <w:t xml:space="preserve">Brevipalpus lewisi</w:t>
      </w:r>
      <w:r>
        <w:rPr>
          <w:rFonts w:ascii="Calibri" w:hAnsi="Calibri" w:eastAsia="Calibri" w:cs="Calibri"/>
          <w:color w:val="000000"/>
          <w:sz w:val="22"/>
          <w:szCs w:val="22"/>
        </w:rPr>
        <w:t xml:space="preserve"> McGregor 1949 (Tenuipalpidae) also occurs as a pest on citrus and other trees and can also be a source of confusion.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USA),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(in Mexico, El Salvador, Honduras, Nicaragua and West Indies), peach (in Bolivia, Mexico and USA – Arizona), strawberry (in USA – California and Philippines), vines (in Chile and Madeira) and poinsettia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(in USA – California, Florida, Costa Rica, El Salvador, South Africa, and Madeira and under greenhouses in USA – California, Oregon, Washington, Illinois, Michigan, Massachusetts, Maryland, Canada – Ontario, Japan – Honshu) are perhaps the most important hosts but the pest has also been recorded from the following: Euphorbiaceae: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Poinsettia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Leguminosae: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Bauhinia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spp.; Rosaceae: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Solanaceae: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Salicaceae: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Sapindaceae: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spp.; Pinaceae: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malacum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pennatula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Argythamnia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corindum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ciliatoglandulifer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glabellus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Encelia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Isocoma pluriflora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cardiophylla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aculeaticarpa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nelsonii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orcuttii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constricta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Xanthisma spinulosum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Country of origin not known, possibly Central America where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occurs on native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In the Northern half of USA, Canada and Japan it was only recorded under greenhouses.</w:t>
      </w:r>
    </w:p>
    <w:p>
      <w:r>
        <w:drawing>
          <wp:inline distT="0" distB="0" distL="0" distR="0">
            <wp:extent cx="6120000" cy="3067200"/>
            <wp:docPr id="1365354" name="name6155665c21230698f" descr="EOTE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ELE_distribution_map.jpg"/>
                    <pic:cNvPicPr/>
                  </pic:nvPicPr>
                  <pic:blipFill>
                    <a:blip r:embed="rId8374665c21230698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Mexico, United States of America (Arizona, California, Florida, Hawaii, Illinois, Maryland, Massachusetts, Michigan, Oregon,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plants,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feeds on the underside of the leaves, preferring the regions close to the main leaf veins but eventually the population occupies the whole of the underside of the leaf. On citrus, the eggs are laid in depressions on the surface of the fruit and the mites feed on the developing fruit and do not usually damage the leaves. On poinsettia, the mean generation time ranges from 19.8 days at 20 °C to 13.2 days at 28 °C. The thermal summation for egg to adult development is 159 degree-days with a temperature threshold of 8.3 °C. The optimal </w:t>
      </w:r>
      <w:r>
        <w:rPr>
          <w:rFonts w:ascii="Calibri" w:hAnsi="Calibri" w:eastAsia="Calibri" w:cs="Calibri"/>
          <w:i/>
          <w:iCs/>
          <w:color w:val="000000"/>
          <w:sz w:val="22"/>
          <w:szCs w:val="22"/>
        </w:rPr>
        <w:t xml:space="preserve">R</w:t>
      </w:r>
      <w:r>
        <w:rPr>
          <w:rFonts w:ascii="Calibri" w:hAnsi="Calibri" w:eastAsia="Calibri" w:cs="Calibri"/>
          <w:i/>
          <w:iCs/>
          <w:color w:val="000000"/>
          <w:position w:val="-4"/>
          <w:sz w:val="22"/>
          <w:szCs w:val="22"/>
          <w:vertAlign w:val="subscript"/>
          <w:vertAlign w:val="subscript"/>
        </w:rPr>
        <w:t xml:space="preserve">0</w:t>
      </w:r>
      <w:r>
        <w:rPr>
          <w:rFonts w:ascii="Calibri" w:hAnsi="Calibri" w:eastAsia="Calibri" w:cs="Calibri"/>
          <w:color w:val="000000"/>
          <w:sz w:val="22"/>
          <w:szCs w:val="22"/>
        </w:rPr>
        <w:t xml:space="preserve"> (number of offspring per female) is 17.7 at 24 °C and mortality increases rapidly over 28 °C (Lai and Lin, 2005). The life cycle from egg to adult ranges from 32.7 days at 15 °C to 10.6 days at 25 °C in experiments on strawberry (Kaur &amp; Zalom, 2017) and averages 12 days for the male and 14.5 days for the female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on citrus in California (USA) with temperatures ranging from 17 to 23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the mites feed mostly on the fruit resulting in a stippling of the rind, heavy infestations producing silvering on lemons and silvering or russeting on oranges. Although webbing may be profuse and conspicuous as it collects dust, there is generally no damage to the leaves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On poinsettia, lightly infested leaves have a speckled or peppered appearance produced by the large number of clear yellow spots or yellowish patches of varying size with indefinite borders all over the leaf, while the undersides of leaves show conditions varying from areas of light-green colouration to obvious chlorosis. Sometimes there is an intense yellow speckling on both sides of the leaves. In severe attacks, the interveinal areas turn yellow and contrast strongly with the green veins. This condition can be mistaken for that caused by zinc or magnesium deficiency (Ochoa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Heavy infestation on the undersides of leaves produces profuse webbing, especially around the flower centres, and chlorotic leaves, eventually leading to extensive leaf drop (Doucette, 1962). Injury caused to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is similar to that caused to poinsettias (Doucette, 1962).</w:t>
      </w:r>
    </w:p>
    <w:p>
      <w:pPr>
        <w:widowControl w:val="on"/>
        <w:pBdr/>
        <w:spacing w:before="220" w:after="220" w:line="240" w:lineRule="auto"/>
        <w:ind w:left="0" w:right="0"/>
        <w:jc w:val="both"/>
      </w:pPr>
      <w:r>
        <w:rPr>
          <w:rFonts w:ascii="Calibri" w:hAnsi="Calibri" w:eastAsia="Calibri" w:cs="Calibri"/>
          <w:color w:val="000000"/>
          <w:sz w:val="22"/>
          <w:szCs w:val="22"/>
        </w:rPr>
        <w:t xml:space="preserve">On papaya, feeding causes chlorosis and distortion of the young leaves, resembling that caused by virus diseases. In severe infestations, the young leaves lose their laminas, while the leaf veins remain. This condition especially can lead to a mistaken diagnosis of a virus disease in commercial plantations. Damage to older leaves resembles that on poinsettias, which can be confused with that caused by hormonal herbicides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symptoms are chlorosis and bronzing of the leaves where feeding occurs, light to high webbing and reduction in fruit production at high mite densities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Spheroidal, whitish to faintly orange in colour, with a short spike arising from the top of the egg without ‘guy-line’ threads from the end of the spike to the plant (in contrast to that of the citrus red mite, </w:t>
      </w:r>
      <w:r>
        <w:rPr>
          <w:rFonts w:ascii="Calibri" w:hAnsi="Calibri" w:eastAsia="Calibri" w:cs="Calibri"/>
          <w:i/>
          <w:iCs/>
          <w:color w:val="000000"/>
          <w:sz w:val="22"/>
          <w:szCs w:val="22"/>
        </w:rPr>
        <w:t xml:space="preserve">Panonychus citri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description of the larval and nymphal stages.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of the female is light-yellow to whitish in colour, the legs and gnathosoma are whitish with a slight reddish tone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Identification requires examination of cleared and mounted specimens of both sexes by transmitted light microscopy. Diagnostic descriptions and keys are provided by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Smith-Meyer (1974, 1987). Body length ranges from 270 µm to 360 µm.</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provides recommendations on how to detect and identify the pest (EPPO Standard PM 7/68,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materials, especially potted plants (poinsettias) or cuttings (poinsettias) and plants for planting (strawberries, raspberries). They can also be present on citrus fruits. At low densities, spider mites are extremely difficult to detect. Inconspicuous (less than half a millimetre) they are invisible to the naked eye. Inspection should focus on small whitish, brownish or yellow spots (easily confused with other causes such as virus symptoms or superficial wounds). An examination of the undersides of the leaves under a stereo-microscope can then confirm (or not) the presence of spider mites, generally associated with white exuviae and webbing. High mite densities are easier to detect, with the same symptoms on a large scale and webbing on the underside of the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Spider mites are mainly dispersed by wind currents and in the field and this is probably the main means of dispersal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glasshouses workers constitute the main dispersal factor between plants. Long distance dispersion is primarily by transport of infested plant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In glasshouses, infestation of poinsettias is thought to have been brought about by the introduction of infested cuttings from warmer areas and/or infested glasshouses. Importation of poinsettia from countries where the pest occurs remains the main pathway for introduction to the EU (EFSA, 2017) and this is probably the case for the rest of the EPPO region, especially around the Christmas period, when most poinsettias are sold.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grapevine, strawberry, raspberry, and other hosts such as peach can also constitute a pathway. However, the import of many of these commodities is prohibited or strictly regulated in the EU and therefore the risk of introduction with these commodities was assessed as lower (EFSA, 2017). In EPPO countries where such restrictions may not exist, the importation of host plants for planting may be a pathway for introduction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(oranges and lemons) are not considered as a possible pathway as the pest is unlikely to survive post-harvest treatments and transfer to host plants after import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populations increase most rapidly on poinsettias,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(both Euphorbiaceae) under glasshouses. If not controlled, the resulting leaf discoloration and leaf drop devastate the sale value of the plants. Impact on sales of poinsettias and more generally Euphorbiaceae constitute the main economic losses due to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is considered to be of very minor importance (Doucette, 1962), occurring occasionally in Southern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emerged as a pest of economic importance in California ten years ago (Dara, 2011; Howell and Daugovish,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negative economic impact has been reported on papaya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Central America and on peach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Mexico.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used to control other spider mites effectively control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most recent data (Dara, 2011) highlighted abamectin, acequinocyl, bifenazate and spiromesifen as effective in controlling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on poinsettia and the author recommended the use of approved acaricides on strawberries. Bethke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Gilrein (2006) recommended etoxazole, fenproximate, hexythiazox and also acequinocyl and bifenazate on poinsettia. Other active substances, that are no longer authorized in the EU have been used in the past: ethion, bifenthrin and propargite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parathion, demeton, dicofol and sulfotep (Doucette, 1962). </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signs of infestation on fruits are removed during the harvesting process. Treatments used against other tetranychid mites will control injurious populations if they should occur.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phytoseiid mite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was found associated with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during the outbreak in American greenhouses growing poinsettias in 1958. It was thought that this species had been at least partly responsible for keeping populations in check in later years (Doucette, 1962). More recently Ho (2007) found </w:t>
      </w:r>
      <w:r>
        <w:rPr>
          <w:rFonts w:ascii="Calibri" w:hAnsi="Calibri" w:eastAsia="Calibri" w:cs="Calibri"/>
          <w:i/>
          <w:iCs/>
          <w:color w:val="000000"/>
          <w:sz w:val="22"/>
          <w:szCs w:val="22"/>
        </w:rPr>
        <w:t xml:space="preserve">Amblyseius longispinosus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Phytoseius minutus</w:t>
      </w:r>
      <w:r>
        <w:rPr>
          <w:rFonts w:ascii="Calibri" w:hAnsi="Calibri" w:eastAsia="Calibri" w:cs="Calibri"/>
          <w:color w:val="000000"/>
          <w:sz w:val="22"/>
          <w:szCs w:val="22"/>
        </w:rPr>
        <w:t xml:space="preserve"> (Acari Phytoseiidae) but also some other natural enemies </w:t>
      </w:r>
      <w:r>
        <w:rPr>
          <w:rFonts w:ascii="Calibri" w:hAnsi="Calibri" w:eastAsia="Calibri" w:cs="Calibri"/>
          <w:i/>
          <w:iCs/>
          <w:color w:val="000000"/>
          <w:sz w:val="22"/>
          <w:szCs w:val="22"/>
        </w:rPr>
        <w:t xml:space="preserve">Scolothrips</w:t>
      </w:r>
      <w:r>
        <w:rPr>
          <w:rFonts w:ascii="Calibri" w:hAnsi="Calibri" w:eastAsia="Calibri" w:cs="Calibri"/>
          <w:color w:val="000000"/>
          <w:sz w:val="22"/>
          <w:szCs w:val="22"/>
        </w:rPr>
        <w:t xml:space="preserve"> sp., cecidomyiid larvae, </w:t>
      </w:r>
      <w:r>
        <w:rPr>
          <w:rFonts w:ascii="Calibri" w:hAnsi="Calibri" w:eastAsia="Calibri" w:cs="Calibri"/>
          <w:i/>
          <w:iCs/>
          <w:color w:val="000000"/>
          <w:sz w:val="22"/>
          <w:szCs w:val="22"/>
        </w:rPr>
        <w:t xml:space="preserve">Oligota</w:t>
      </w:r>
      <w:r>
        <w:rPr>
          <w:rFonts w:ascii="Calibri" w:hAnsi="Calibri" w:eastAsia="Calibri" w:cs="Calibri"/>
          <w:color w:val="000000"/>
          <w:sz w:val="22"/>
          <w:szCs w:val="22"/>
        </w:rPr>
        <w:t xml:space="preserve"> larvae,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larvae feeding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laboratory experiments on strawberry plants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Neoseiulus fallacis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andersoni</w:t>
      </w:r>
      <w:r>
        <w:rPr>
          <w:rFonts w:ascii="Calibri" w:hAnsi="Calibri" w:eastAsia="Calibri" w:cs="Calibri"/>
          <w:color w:val="000000"/>
          <w:sz w:val="22"/>
          <w:szCs w:val="22"/>
        </w:rPr>
        <w:t xml:space="preserve"> were found preying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It is not the case of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which by preying only on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favors the development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mixed infestations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presents a risk to glasshouse poinsettias. It has already been recorded and eradicated twice in the EPPO region. Once introduced, it could escape and establish outdoor in countries with mild winters, although this is considered as a rare event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imported from third countries where the mite occurs, raspberry and strawberry plants for planting imported from third countries where the mite occurs while providing routes for possible pest entry to the EU, do not realistically provide opportunities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to establish within the EU in the next 10 years (EFSA, 2017). This is due to either the highly controlled conditions under which strawberry and raspberry propagating material and plants for planting are grown and managed, or due to the handling and shipping conditions used to import citrus fruit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and raspberry, grapevine and peach similar impacts to those observed respectively in the USA, Chile and Mexico could be expected. Although, following its detection in Madeira, </w:t>
      </w:r>
      <w:r>
        <w:rPr>
          <w:rFonts w:ascii="Calibri" w:hAnsi="Calibri" w:eastAsia="Calibri" w:cs="Calibri"/>
          <w:i/>
          <w:iCs/>
          <w:color w:val="000000"/>
          <w:sz w:val="22"/>
          <w:szCs w:val="22"/>
        </w:rPr>
        <w:t xml:space="preserve">E. lewisi </w:t>
      </w:r>
      <w:r>
        <w:rPr>
          <w:rFonts w:ascii="Calibri" w:hAnsi="Calibri" w:eastAsia="Calibri" w:cs="Calibri"/>
          <w:color w:val="000000"/>
          <w:sz w:val="22"/>
          <w:szCs w:val="22"/>
        </w:rPr>
        <w:t xml:space="preserve">is not known to have caused any noticeable impacts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Any imported material of poinsettias (or other glasshouse ornamental hosts) should come from a place of production found free from the pest. Plants for planting (grapevine, strawberry and raspberry) should also come from an area or a place of production free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Bethke J, Siapno O, Redak R (2004) The latest miticides.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54-56. Available online: </w:t>
      </w:r>
      <w:hyperlink r:id="rId7823665c2123076dc" w:history="1">
        <w:r>
          <w:rPr>
            <w:rFonts w:ascii="Calibri" w:hAnsi="Calibri" w:eastAsia="Calibri" w:cs="Calibri"/>
            <w:color w:val="0000CC"/>
            <w:sz w:val="22"/>
            <w:szCs w:val="22"/>
            <w:u w:val="single"/>
          </w:rPr>
          <w:t xml:space="preserve">https://gpnmag.com/article/latest-miticides/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 S (2011) Lewis mite: a potential pest of strawberries and raspberries. Production and pest management practices for strawberries and vegetables. </w:t>
      </w:r>
      <w:r>
        <w:rPr>
          <w:rFonts w:ascii="Calibri" w:hAnsi="Calibri" w:eastAsia="Calibri" w:cs="Calibri"/>
          <w:i/>
          <w:iCs/>
          <w:color w:val="000000"/>
          <w:sz w:val="22"/>
          <w:szCs w:val="22"/>
        </w:rPr>
        <w:t xml:space="preserve">Division of agricultural and natural resources, University of California</w:t>
      </w:r>
      <w:r>
        <w:rPr>
          <w:rFonts w:ascii="Calibri" w:hAnsi="Calibri" w:eastAsia="Calibri" w:cs="Calibri"/>
          <w:color w:val="000000"/>
          <w:sz w:val="22"/>
          <w:szCs w:val="22"/>
        </w:rPr>
        <w:t xml:space="preserve">, USA. Available online: </w:t>
      </w:r>
      <w:hyperlink r:id="rId2498665c212307733" w:history="1">
        <w:r>
          <w:rPr>
            <w:rFonts w:ascii="Calibri" w:hAnsi="Calibri" w:eastAsia="Calibri" w:cs="Calibri"/>
            <w:color w:val="0000CC"/>
            <w:sz w:val="22"/>
            <w:szCs w:val="22"/>
            <w:u w:val="single"/>
          </w:rPr>
          <w:t xml:space="preserve">ucanr.edu/blogs/blogcore/postdetail.cfm?postnum=4380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Doucette CF (1962) The lewis mite,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on greenhouse poinsettia.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Jeger M, Bragard C, Caffier D,Candresse T, Chatzivassiliou E, Dehnen-Schmutz K, Gilioli G, Grégoire J-C, Jaques Miret JA, MacLeod A,Niere B, Parnell S, Potting R, Rafoss T, Rossi V, Urek G, Van Bruggen A, Van Der Werf W, West J,Winter S, Bergeretti F, Bjorklund N, Mosbach-Schulz O, Vos S, Navajas Navarro. Pest risk assessment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(10):4878, 122pp. Available online </w:t>
      </w:r>
      <w:hyperlink r:id="rId5612665c21230783f" w:history="1">
        <w:r>
          <w:rPr>
            <w:rFonts w:ascii="Calibri" w:hAnsi="Calibri" w:eastAsia="Calibri" w:cs="Calibri"/>
            <w:color w:val="0000CC"/>
            <w:sz w:val="22"/>
            <w:szCs w:val="22"/>
            <w:u w:val="single"/>
          </w:rPr>
          <w:t xml:space="preserve">https://doi.org/10.2903/j.efsa.2017.4878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 Protocol for </w:t>
      </w: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PM 7/68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161–163. Available online </w:t>
      </w:r>
      <w:hyperlink r:id="rId5471665c2123078cc" w:history="1">
        <w:r>
          <w:rPr>
            <w:rFonts w:ascii="Calibri" w:hAnsi="Calibri" w:eastAsia="Calibri" w:cs="Calibri"/>
            <w:color w:val="0000CC"/>
            <w:sz w:val="22"/>
            <w:szCs w:val="22"/>
            <w:u w:val="single"/>
          </w:rPr>
          <w:t xml:space="preserve">https://gd.eppo.int/download/standard/192/pm7-068-1-en.pdf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Gilrein D (2006) Managing Lewis mites on poinsettia.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Ho CC (2007) Monitoring on two exotic spider mites in Taiwan. </w:t>
      </w:r>
      <w:r>
        <w:rPr>
          <w:rFonts w:ascii="Calibri" w:hAnsi="Calibri" w:eastAsia="Calibri" w:cs="Calibri"/>
          <w:i/>
          <w:iCs/>
          <w:color w:val="000000"/>
          <w:sz w:val="22"/>
          <w:szCs w:val="22"/>
        </w:rPr>
        <w:t xml:space="preserve">Applied Zoology Division, Agricultural research Institute, COA, Taichung, Taiwan, ROC</w:t>
      </w:r>
      <w:r>
        <w:rPr>
          <w:rFonts w:ascii="Calibri" w:hAnsi="Calibri" w:eastAsia="Calibri" w:cs="Calibri"/>
          <w:color w:val="000000"/>
          <w:sz w:val="22"/>
          <w:szCs w:val="22"/>
        </w:rPr>
        <w:t xml:space="preserve">. 9 pp.</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AD, Daugovish O (2013) Biological Control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(Acari: Tetranychidae) on strawberry by four phytoseiids (Acari: Phytoseiidae).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  80-85.</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In: </w:t>
      </w:r>
      <w:r>
        <w:rPr>
          <w:rFonts w:ascii="Calibri" w:hAnsi="Calibri" w:eastAsia="Calibri" w:cs="Calibri"/>
          <w:i/>
          <w:iCs/>
          <w:color w:val="000000"/>
          <w:sz w:val="22"/>
          <w:szCs w:val="22"/>
        </w:rPr>
        <w:t xml:space="preserve">Mites injurious to economic plants</w:t>
      </w:r>
      <w:r>
        <w:rPr>
          <w:rFonts w:ascii="Calibri" w:hAnsi="Calibri" w:eastAsia="Calibri" w:cs="Calibri"/>
          <w:color w:val="000000"/>
          <w:sz w:val="22"/>
          <w:szCs w:val="22"/>
        </w:rPr>
        <w:t xml:space="preserve">, pp. 166, 171-173. University of California Press,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Kaur P, Zalom FG (2017) Effect of temperature on the development of </w:t>
      </w:r>
      <w:r>
        <w:rPr>
          <w:rFonts w:ascii="Calibri" w:hAnsi="Calibri" w:eastAsia="Calibri" w:cs="Calibri"/>
          <w:i/>
          <w:iCs/>
          <w:color w:val="000000"/>
          <w:sz w:val="22"/>
          <w:szCs w:val="22"/>
        </w:rPr>
        <w:t xml:space="preserve">Tetranychus urticae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Eotetranychus lewisi</w:t>
      </w:r>
      <w:r>
        <w:rPr>
          <w:rFonts w:ascii="Calibri" w:hAnsi="Calibri" w:eastAsia="Calibri" w:cs="Calibri"/>
          <w:color w:val="000000"/>
          <w:sz w:val="22"/>
          <w:szCs w:val="22"/>
        </w:rPr>
        <w:t xml:space="preserve"> on strawberry.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Lai HS, Lin FC (2005) Development and population parameters of the Lewis spider mite, E</w:t>
      </w:r>
      <w:r>
        <w:rPr>
          <w:rFonts w:ascii="Calibri" w:hAnsi="Calibri" w:eastAsia="Calibri" w:cs="Calibri"/>
          <w:i/>
          <w:iCs/>
          <w:color w:val="000000"/>
          <w:sz w:val="22"/>
          <w:szCs w:val="22"/>
        </w:rPr>
        <w:t xml:space="preserve">otetranychus lewisi</w:t>
      </w:r>
      <w:r>
        <w:rPr>
          <w:rFonts w:ascii="Calibri" w:hAnsi="Calibri" w:eastAsia="Calibri" w:cs="Calibri"/>
          <w:color w:val="000000"/>
          <w:sz w:val="22"/>
          <w:szCs w:val="22"/>
        </w:rPr>
        <w:t xml:space="preserve">, on poinsettia. </w:t>
      </w:r>
      <w:r>
        <w:rPr>
          <w:rFonts w:ascii="Calibri" w:hAnsi="Calibri" w:eastAsia="Calibri" w:cs="Calibri"/>
          <w:i/>
          <w:iCs/>
          <w:color w:val="000000"/>
          <w:sz w:val="22"/>
          <w:szCs w:val="22"/>
        </w:rPr>
        <w:t xml:space="preserve">Plant Protection Bulletin</w:t>
      </w:r>
      <w:r>
        <w:rPr>
          <w:rFonts w:ascii="Calibri" w:hAnsi="Calibri" w:eastAsia="Calibri" w:cs="Calibri"/>
          <w:color w:val="000000"/>
          <w:sz w:val="22"/>
          <w:szCs w:val="22"/>
        </w:rPr>
        <w:t xml:space="preserve"> (Taichung),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379–390.</w:t>
      </w:r>
    </w:p>
    <w:p>
      <w:pPr>
        <w:widowControl w:val="on"/>
        <w:pBdr/>
        <w:spacing w:before="220" w:after="220" w:line="240" w:lineRule="auto"/>
        <w:ind w:left="0" w:right="0"/>
        <w:jc w:val="left"/>
      </w:pPr>
      <w:r>
        <w:rPr>
          <w:rFonts w:ascii="Calibri" w:hAnsi="Calibri" w:eastAsia="Calibri" w:cs="Calibri"/>
          <w:color w:val="000000"/>
          <w:sz w:val="22"/>
          <w:szCs w:val="22"/>
        </w:rPr>
        <w:t xml:space="preserve">Ochoa R, Aguilar H, Vargas C (1991) In: </w:t>
      </w:r>
      <w:r>
        <w:rPr>
          <w:rFonts w:ascii="Calibri" w:hAnsi="Calibri" w:eastAsia="Calibri" w:cs="Calibri"/>
          <w:i/>
          <w:iCs/>
          <w:color w:val="000000"/>
          <w:sz w:val="22"/>
          <w:szCs w:val="22"/>
        </w:rPr>
        <w:t xml:space="preserve">Phytophagous mites of Central America: illustrated guide</w:t>
      </w:r>
      <w:r>
        <w:rPr>
          <w:rFonts w:ascii="Calibri" w:hAnsi="Calibri" w:eastAsia="Calibri" w:cs="Calibri"/>
          <w:color w:val="000000"/>
          <w:sz w:val="22"/>
          <w:szCs w:val="22"/>
        </w:rPr>
        <w:t xml:space="preserve">, pp. 93-94, 139-140. Centro Agronómico Tropical de Investigación y Enseñanza, Turrialba,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Perez-Santiago G, Alcaraz J, Garcia-Gutierre C, Alvarez Zagoya R (2002) Susceptibility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(Acari: Tetranychidae) to four acaricides. Morales-Malacara JB and Rivas G, XI International Congress of Acarology, Merida, Mexico, Universidad Nacional Autonoma de Mexico. Abstract book: 253.</w:t>
      </w:r>
    </w:p>
    <w:p>
      <w:pPr>
        <w:widowControl w:val="on"/>
        <w:pBdr/>
        <w:spacing w:before="220" w:after="220" w:line="240" w:lineRule="auto"/>
        <w:ind w:left="0" w:right="0"/>
        <w:jc w:val="left"/>
      </w:pPr>
      <w:r>
        <w:rPr>
          <w:rFonts w:ascii="Calibri" w:hAnsi="Calibri" w:eastAsia="Calibri" w:cs="Calibri"/>
          <w:color w:val="000000"/>
          <w:sz w:val="22"/>
          <w:szCs w:val="22"/>
        </w:rPr>
        <w:t xml:space="preserve">Pérez-Santiago G, Otero-Colina G, González Hernández VA, Ramírez Guzmán ME, González Hernández H, López Jiménez A (2007) The population level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the concentration of carbohydrates in peach trees. </w:t>
      </w:r>
      <w:r>
        <w:rPr>
          <w:rFonts w:ascii="Calibri" w:hAnsi="Calibri" w:eastAsia="Calibri" w:cs="Calibri"/>
          <w:i/>
          <w:iCs/>
          <w:color w:val="000000"/>
          <w:sz w:val="22"/>
          <w:szCs w:val="22"/>
        </w:rPr>
        <w:t xml:space="preserve">Experimental and Applied Acarology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255-263. </w:t>
      </w:r>
      <w:hyperlink r:id="rId4758665c212307c1e" w:history="1">
        <w:r>
          <w:rPr>
            <w:rFonts w:ascii="Calibri" w:hAnsi="Calibri" w:eastAsia="Calibri" w:cs="Calibri"/>
            <w:color w:val="0000CC"/>
            <w:sz w:val="22"/>
            <w:szCs w:val="22"/>
            <w:u w:val="single"/>
          </w:rPr>
          <w:t xml:space="preserve">https://doi.org/10.1007/s10493-007-9122-x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Smith-Meyer MKP (1974) A revision of the Tetranychidae of Africa (Acari) with a key to the genera of the world. </w:t>
      </w:r>
      <w:r>
        <w:rPr>
          <w:rFonts w:ascii="Calibri" w:hAnsi="Calibri" w:eastAsia="Calibri" w:cs="Calibri"/>
          <w:i/>
          <w:iCs/>
          <w:color w:val="000000"/>
          <w:sz w:val="22"/>
          <w:szCs w:val="22"/>
        </w:rPr>
        <w:t xml:space="preserve">Entomology Memoir, Department of Agricultural Technical Services, Republic of South Africa</w:t>
      </w:r>
      <w:r>
        <w:rPr>
          <w:rFonts w:ascii="Calibri" w:hAnsi="Calibri" w:eastAsia="Calibri" w:cs="Calibri"/>
          <w:color w:val="000000"/>
          <w:sz w:val="22"/>
          <w:szCs w:val="22"/>
        </w:rPr>
        <w:t xml:space="preserve"> No. 36, 136-141, 148-149.</w:t>
      </w:r>
    </w:p>
    <w:p>
      <w:pPr>
        <w:widowControl w:val="on"/>
        <w:pBdr/>
        <w:spacing w:before="220" w:after="220" w:line="240" w:lineRule="auto"/>
        <w:ind w:left="0" w:right="0"/>
        <w:jc w:val="left"/>
      </w:pPr>
      <w:r>
        <w:rPr>
          <w:rFonts w:ascii="Calibri" w:hAnsi="Calibri" w:eastAsia="Calibri" w:cs="Calibri"/>
          <w:color w:val="000000"/>
          <w:sz w:val="22"/>
          <w:szCs w:val="22"/>
        </w:rPr>
        <w:t xml:space="preserve">Smith-Meyer KP (1987) African Tetranychidae (Acari: Prostigmata) ­with reference to the world fauna. </w:t>
      </w:r>
      <w:r>
        <w:rPr>
          <w:rFonts w:ascii="Calibri" w:hAnsi="Calibri" w:eastAsia="Calibri" w:cs="Calibri"/>
          <w:i/>
          <w:iCs/>
          <w:color w:val="000000"/>
          <w:sz w:val="22"/>
          <w:szCs w:val="22"/>
        </w:rPr>
        <w:t xml:space="preserve">Entomology Memoir, Department of Agriculture and Water Supply, Republic of South Africa</w:t>
      </w:r>
      <w:r>
        <w:rPr>
          <w:rFonts w:ascii="Calibri" w:hAnsi="Calibri" w:eastAsia="Calibri" w:cs="Calibri"/>
          <w:color w:val="000000"/>
          <w:sz w:val="22"/>
          <w:szCs w:val="22"/>
        </w:rPr>
        <w:t xml:space="preserve"> No. 69, 111, 115-116.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EPPO datasheets on pests recommended for regulation. Available online. </w:t>
      </w:r>
      <w:hyperlink r:id="rId3808665c212307d4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60251569" name="name6016665c2123081d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01665c2123081d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153927">
    <w:multiLevelType w:val="hybridMultilevel"/>
    <w:lvl w:ilvl="0" w:tplc="34279255">
      <w:start w:val="1"/>
      <w:numFmt w:val="decimal"/>
      <w:lvlText w:val="%1."/>
      <w:lvlJc w:val="left"/>
      <w:pPr>
        <w:ind w:left="720" w:hanging="360"/>
      </w:pPr>
    </w:lvl>
    <w:lvl w:ilvl="1" w:tplc="34279255" w:tentative="1">
      <w:start w:val="1"/>
      <w:numFmt w:val="lowerLetter"/>
      <w:lvlText w:val="%2."/>
      <w:lvlJc w:val="left"/>
      <w:pPr>
        <w:ind w:left="1440" w:hanging="360"/>
      </w:pPr>
    </w:lvl>
    <w:lvl w:ilvl="2" w:tplc="34279255" w:tentative="1">
      <w:start w:val="1"/>
      <w:numFmt w:val="lowerRoman"/>
      <w:lvlText w:val="%3."/>
      <w:lvlJc w:val="right"/>
      <w:pPr>
        <w:ind w:left="2160" w:hanging="180"/>
      </w:pPr>
    </w:lvl>
    <w:lvl w:ilvl="3" w:tplc="34279255" w:tentative="1">
      <w:start w:val="1"/>
      <w:numFmt w:val="decimal"/>
      <w:lvlText w:val="%4."/>
      <w:lvlJc w:val="left"/>
      <w:pPr>
        <w:ind w:left="2880" w:hanging="360"/>
      </w:pPr>
    </w:lvl>
    <w:lvl w:ilvl="4" w:tplc="34279255" w:tentative="1">
      <w:start w:val="1"/>
      <w:numFmt w:val="lowerLetter"/>
      <w:lvlText w:val="%5."/>
      <w:lvlJc w:val="left"/>
      <w:pPr>
        <w:ind w:left="3600" w:hanging="360"/>
      </w:pPr>
    </w:lvl>
    <w:lvl w:ilvl="5" w:tplc="34279255" w:tentative="1">
      <w:start w:val="1"/>
      <w:numFmt w:val="lowerRoman"/>
      <w:lvlText w:val="%6."/>
      <w:lvlJc w:val="right"/>
      <w:pPr>
        <w:ind w:left="4320" w:hanging="180"/>
      </w:pPr>
    </w:lvl>
    <w:lvl w:ilvl="6" w:tplc="34279255" w:tentative="1">
      <w:start w:val="1"/>
      <w:numFmt w:val="decimal"/>
      <w:lvlText w:val="%7."/>
      <w:lvlJc w:val="left"/>
      <w:pPr>
        <w:ind w:left="5040" w:hanging="360"/>
      </w:pPr>
    </w:lvl>
    <w:lvl w:ilvl="7" w:tplc="34279255" w:tentative="1">
      <w:start w:val="1"/>
      <w:numFmt w:val="lowerLetter"/>
      <w:lvlText w:val="%8."/>
      <w:lvlJc w:val="left"/>
      <w:pPr>
        <w:ind w:left="5760" w:hanging="360"/>
      </w:pPr>
    </w:lvl>
    <w:lvl w:ilvl="8" w:tplc="34279255" w:tentative="1">
      <w:start w:val="1"/>
      <w:numFmt w:val="lowerRoman"/>
      <w:lvlText w:val="%9."/>
      <w:lvlJc w:val="right"/>
      <w:pPr>
        <w:ind w:left="6480" w:hanging="180"/>
      </w:pPr>
    </w:lvl>
  </w:abstractNum>
  <w:abstractNum w:abstractNumId="89153926">
    <w:multiLevelType w:val="hybridMultilevel"/>
    <w:lvl w:ilvl="0" w:tplc="25176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153926">
    <w:abstractNumId w:val="89153926"/>
  </w:num>
  <w:num w:numId="89153927">
    <w:abstractNumId w:val="891539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9522653" Type="http://schemas.microsoft.com/office/2011/relationships/commentsExtended" Target="commentsExtended.xml"/><Relationship Id="rId184483777" Type="http://schemas.microsoft.com/office/2011/relationships/people" Target="people.xml"/><Relationship Id="rId7519665c2123045b5" Type="http://schemas.openxmlformats.org/officeDocument/2006/relationships/hyperlink" Target="https://gd.eppo.int/taxon/EOTELE/" TargetMode="External"/><Relationship Id="rId8172665c2123045fa" Type="http://schemas.openxmlformats.org/officeDocument/2006/relationships/hyperlink" Target="https://gd.eppo.int/taxon/EOTELE/categorization" TargetMode="External"/><Relationship Id="rId7290665c212304e9e" Type="http://schemas.openxmlformats.org/officeDocument/2006/relationships/hyperlink" Target="https://gd.eppo.int/taxon/EOTELE/photos" TargetMode="External"/><Relationship Id="rId7823665c2123076dc" Type="http://schemas.openxmlformats.org/officeDocument/2006/relationships/hyperlink" Target="https://gpnmag.com/article/latest-miticides/" TargetMode="External"/><Relationship Id="rId2498665c212307733" Type="http://schemas.openxmlformats.org/officeDocument/2006/relationships/hyperlink" Target="http://ucanr.edu/blogs/blogcore/postdetail.cfm?postnum=4380" TargetMode="External"/><Relationship Id="rId5612665c21230783f" Type="http://schemas.openxmlformats.org/officeDocument/2006/relationships/hyperlink" Target="https://doi.org/10.2903/j.efsa.2017.4878" TargetMode="External"/><Relationship Id="rId5471665c2123078cc" Type="http://schemas.openxmlformats.org/officeDocument/2006/relationships/hyperlink" Target="https://gd.eppo.int/download/standard/192/pm7-068-1-en.pdf" TargetMode="External"/><Relationship Id="rId4758665c212307c1e" Type="http://schemas.openxmlformats.org/officeDocument/2006/relationships/hyperlink" Target="https://doi.org/10.1007/s10493-007-9122-x" TargetMode="External"/><Relationship Id="rId3808665c212307d47" Type="http://schemas.openxmlformats.org/officeDocument/2006/relationships/hyperlink" Target="https://gd.eppo.int" TargetMode="External"/><Relationship Id="rId6326665c212304d6c" Type="http://schemas.openxmlformats.org/officeDocument/2006/relationships/image" Target="media/imgrId6326665c212304d6c.jpg"/><Relationship Id="rId8374665c21230698c" Type="http://schemas.openxmlformats.org/officeDocument/2006/relationships/image" Target="media/imgrId8374665c21230698c.jpg"/><Relationship Id="rId8401665c2123081dc" Type="http://schemas.openxmlformats.org/officeDocument/2006/relationships/image" Target="media/imgrId8401665c2123081d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