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tuberis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tuberis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Gentner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tuber flea beetle</w:t>
            </w:r>
            <w:hyperlink r:id="rId8388668502e9450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6589668502e9450e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EPIXTU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826798" name="name7916668502e945ad9" descr="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jpg"/>
                          <pic:cNvPicPr/>
                        </pic:nvPicPr>
                        <pic:blipFill>
                          <a:blip r:embed="rId4349668502e945ad7" cstate="print"/>
                          <a:stretch>
                            <a:fillRect/>
                          </a:stretch>
                        </pic:blipFill>
                        <pic:spPr>
                          <a:xfrm>
                            <a:off x="0" y="0"/>
                            <a:ext cx="2160000" cy="1281600"/>
                          </a:xfrm>
                          <a:prstGeom prst="rect">
                            <a:avLst/>
                          </a:prstGeom>
                          <a:ln w="0">
                            <a:noFill/>
                          </a:ln>
                        </pic:spPr>
                      </pic:pic>
                    </a:graphicData>
                  </a:graphic>
                </wp:inline>
              </w:drawing>
            </w:r>
            <w:hyperlink r:id="rId1357668502e945c2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162 described species worldwide (Bienkowski &amp; Orlova-Bienkowskaja, 2017). Most of the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native to the neotropics (Deczynski, 2016). In North America, the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is the most damaging of a group of five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that are associated with potato, which includes also the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hirtipennis</w:t>
      </w:r>
      <w:r>
        <w:rPr>
          <w:rFonts w:ascii="Calibri" w:hAnsi="Calibri" w:eastAsia="Calibri" w:cs="Calibri"/>
          <w:color w:val="000000"/>
          <w:sz w:val="22"/>
          <w:szCs w:val="22"/>
        </w:rPr>
        <w:t xml:space="preserve"> (tobacco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Because of the morphological similarity between these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initially considered to be the same species 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until it was described as a new species by Gentner, in 1944. Consequently, some of the earlier observations on hosts, distribution and biology reported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in fact relate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may feed temporarily on plants from other botanical families when they do not have access to their solanaceous hosts (Hoerner &amp; Gillette, 1928; Hill &amp; Tate, 1942; Gentner, 1944; Hill, 1946; Neilson &amp; Finlayson, 1953; Seeno &amp; Andrews, 1972). No records exist on the possibility of larval development on non-solanaceous plants (Hill &amp; Tate, 1942).</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has been recorded on other cultivated solanaceous plant species,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but damage on these plants is not important, and only leaves are affected (Deczynski, 2016). Other non-cultivated solanaceous host plants include common weeds such as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buffalo bur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and ground-cherry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sp.) (Gentner, 1944; Deczynski, 2016). All these secondary host plant species are important food sources for the survival of the tuber flea beetle populations when potato is not available. A list of confirmed solanaceous hosts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for the USA and Canada was established by Deczynski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of host plants consumed by the females greatly affect their oviposition and life duration, as demonstrated by Hill (1946) in laboratory and field experiments. Among several plant species commonly fed upon by the overwintered flea beetles, potato promoted the highest egg production and the highest longevity.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pruinosa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believed to be native to Colorado (USA), from which it expanded its distribution range to the western parts of the USA and Canada, alongside the development of the potato industry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The species is also reported in Costa Rica and Ecuador.</w:t>
      </w:r>
    </w:p>
    <w:p>
      <w:r>
        <w:drawing>
          <wp:inline distT="0" distB="0" distL="0" distR="0">
            <wp:extent cx="6120000" cy="3067200"/>
            <wp:docPr id="71479265" name="name6998668502e94773b" descr="EPIXT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TU_distribution_map.jpg"/>
                    <pic:cNvPicPr/>
                  </pic:nvPicPr>
                  <pic:blipFill>
                    <a:blip r:embed="rId7671668502e94773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Saskatchewan), United States of America (Arizona, California, Colorado, Idaho, Montana, Nebraska, New Mexico, North Dakota, Oregon, South Dakota, Texas,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species misidentification, the biology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studied under the name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until 1944, when Gentner identified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as a new species. These studies include those by Hoerner &amp; Gillette (1928) in Colorado, by Hill &amp; Tate (1942) in Western Nebraska, and by Jones (1944) in Eastern Washington.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feed on the leaves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On potato, the larvae feed on the roots, root hairs, stolons and tubers. In North America,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normally completes two generations per year on potato (Hill &amp; Tate, 1942; Fulton &amp; Banham, 1962) but in Canada the species may occasionally undergo a third partial generation, depending on the length of the growing season and the date of emergence of the overwintered adults (Fulton &amp; Banham, 1962). In autumn, the adults overwinter in and around the fields where they developed, buried in the soil or under leaf litter and other debris (Hoerner &amp; Gillette, 1928). In spring, when the temperature warms up, the adults become active. They leave their winter refuges and start feeding on alternative host plant species available, until the potato plants develop (Hoerner &amp; Gillette, 1928). Starting in mid-May, the overwintered adults emerge gradually, over a period of time which may extend up to 45 days, depending on the temperature (Hill &amp; Tate, 1942). When they find a potato plantation, the overwintered adults settle on the potato plants, feed, and mate. They are able to mate shortly after emergence (Hoerner &amp; Gillette, 1928; Neilson &amp; Finlayson, 1953). After a pre-oviposition period of 5-8 days (Neilson &amp; Finlayson, 1953) the females lay the eggs singly below the soil surface, close to the stems of the potato plant, over a period ranging from 35 to 57 days (Hill &amp; Tate, 1942), and die shortly after. In the laboratory, the overwintered females laid between 161 and 215 eggs (Hill &amp; Tate, 1942). After incubating for 3-14 days (Hill &amp; Tate, 1942), the eggs hatch and the larvae of the first generation move to the roots and to the small immature tubers of early-planted potatoes. When fully-grown, the larvae stop feeding, move away from the roots and tubers, and build a pupation chamber with soil particles in which they will metamorphosize into an adult. The larvae of the first generation develop in 2-4 weeks and the larvae of the second generation in 2-6 weeks (Hill &amp; Tate, 1942). The larvae of the first generation develop on early-planted potatoes and those of the second generation in the late-planted potatoes (Hill &amp; Tate, 1942). Pupation lasts 4-10 days (first generation) and 5-22 days (second generation) (Hill &amp; Tate, 1942). </w:t>
      </w:r>
    </w:p>
    <w:p>
      <w:pPr>
        <w:widowControl w:val="on"/>
        <w:pBdr/>
        <w:spacing w:before="220" w:after="220" w:line="240" w:lineRule="auto"/>
        <w:ind w:left="0" w:right="0"/>
        <w:jc w:val="both"/>
      </w:pPr>
      <w:r>
        <w:rPr>
          <w:rFonts w:ascii="Calibri" w:hAnsi="Calibri" w:eastAsia="Calibri" w:cs="Calibri"/>
          <w:color w:val="000000"/>
          <w:sz w:val="22"/>
          <w:szCs w:val="22"/>
        </w:rPr>
        <w:t xml:space="preserve">In Nebraska, the development time from egg to adult for the first generation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ranged from 27 to 50 days (average 30 days) and for the second generation from 30 to 85 days (average 40 days), and the two generations partially overlapped (Hill and Tate, 1942).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adults disperse by flight, jumping and walking. There are no data on the flight frequency or distances covered by the adults, but Hoerner &amp; Gillette (1928) presumed that flight was the most important means used by the overwintered adults for locating potato fields which were up to 1.5 km from the potato fields where the pest was found the previous year. Very little flight occurs before noon and flight activity ceases completely on windy days, when the wind velocity is over 11 km/hour (Jones, 1944).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types of tuber injury are produced by the larval feeding. The larva may tunnel underneath the skin, producing winding superficial trails (‘worm-tracks‘) or may feed outside, penetrating only partially into the potato, almost at a right angle to the surface (Hoerner &amp; Gillette, 1928), originating a pit which mostly penetrates up to 3 mm but may reach 6 mm, and later becomes filled with dark corky material, described as ‘slivers’ (Gentner, 1944; Wallis, 1953;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The ‘worm-track’ type of injury is the most easily recognizable. Rough skin, deep cracks and scab-like lesions are sometimes associated with the larval attack. Tuber flea beetle lesions have been claimed to favour the penetration of different pathogens, and Schaal (1934) demonstrated that tuber flea beetle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characteristic rows of setae on the elytra (Deczynski, 2016).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 allow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immature stages and the adults have been characterized morphologically by Hill (1946) and by Neilson &amp; Finlayson (1953)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elliptical, white, with a reticulate surface, approximately 0.5 mm in length and 0.2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in colour, threadlike, and approximately 1.0 mm long. The full-grown larva is white, with the head and thoracic shield light brown, averaging 5.3 mm in length and 0.8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and approximately 2.5 mm long and 1.5 mm wide across the mesothorax.</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dull black beetles with rows of short white hairs across the elytra, 1.5-2.0 mm long, with brownish-yellow antennae. The hind femurs are enlarged, adapted to jumping.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 When present at potato harvest, the larvae may be hidden inside the ‘worm tracks’, or may expose the terminal part of the abdomen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stages can be made reliably by non-specialists, using molecular methods (DNA barcoding on cytochrome c oxidase subunit I (COI) gene)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can fly, and this is one of the main means for local dispersal of the species. The main pathway for long distance spread is through the commercial transport of potato tubers (seed or ware potatoes), when associated with soil and plant debris (EPPO, 2016;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in an infested field, adults, pupae and larvae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may be present in the stubble, soil, and tubers. Adult beetles may be carried passively on the surface of potatoes, or with the soil adhering to potato tubers. This possibility would be higher in exports of seed potatoes, because potatoes are not washed. Larvae could be present inside the deeper ‘worm-track’ galleries. However, Fulton &amp; Banham (1962) reported that the larvae left the tubers after these were dug up, and that these damaged tubers were not likely to spread the live pest.</w:t>
      </w:r>
    </w:p>
    <w:p>
      <w:pPr>
        <w:widowControl w:val="on"/>
        <w:pBdr/>
        <w:spacing w:before="220" w:after="220" w:line="240" w:lineRule="auto"/>
        <w:ind w:left="0" w:right="0"/>
        <w:jc w:val="both"/>
      </w:pPr>
      <w:r>
        <w:rPr>
          <w:rFonts w:ascii="Calibri" w:hAnsi="Calibri" w:eastAsia="Calibri" w:cs="Calibri"/>
          <w:color w:val="000000"/>
          <w:sz w:val="22"/>
          <w:szCs w:val="22"/>
        </w:rPr>
        <w:t xml:space="preserve">The soil of host plants for planting could also contain and spread immature stages of the pest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lesions caused on the potato tubers by the larvae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mostly superficial and do not affect tuber quality, but they have a marked negative visual impact for certain trade markets, and cause the commercial downgrading of the product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Vernon &amp; Herk, 2017). Furthermore, ‘slivers’, when present, oblige deeper peeling of the potatoes before consumption, causing additional losses. In Canada, a crop is commercially downgraded when more than 5% of the tubers present tuber flea beetle injury, as reported in a PRA carried out by EPPO on tuber damaging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(EPPO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should have a little impact on yield losses, because it is compensated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in zones with an extended cropping season, control measures are necessary for preventing the build-up of the populations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avoiding economical tuber damage. The related control costs represent an additional burden to the crop’s production costs, in terms of monitoring, insecticide treatments, and cultural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records of efficient natural enemies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(Neilson &amp; Finlayson, 1953; Vernon &amp; Herk,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the second-generation larvae, which develops on medium to late crops, is the most damaging one and is difficult to control efficiently with insecticides. For this reason, this generation is indirectly controlled with an IPM strategy targeting the overwintered adults, which oviposit on the early planted potato crops, and are thereby origin of the first-generation larvae (Vernon &amp; Herk, 2017). The IPM strategy combines cultural measures, for reducing the population of overwintered adults, with insecticide treatments. The cultural measures include the destruction of overwintering places, the crop rotation with non-solanaceous plants, and the adaptation of planting schedules (Hoerner &amp; Gillette, 1928; Vernon &amp; Herk, 2017). In North America a 3-year potato rotation is recommended to avoid the on-site overwintering of the beetles (Vernon &amp; Herk,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need for insecticide treatments on potato is decided on the basis of weekly estimations of the population density of the adults on the plants (Vernon &amp; Herk, 2017). The overwintered immigrant beetles tend to settle and feed initially on the border rows of the crop, and this behaviour creates an edge effect on the distribution of the beetles early in the season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This allows a simplification of the monitoring procedure, which can be carried out along the border rows and in two interior rows (Vernon &amp; Herk, 2017). Monitoring begins at 10% crop emergence, and is done by visual counts of the adults on the foliage until the crop is 30 cm tall. Later on, counting adults on the larger plants is not reliable and adult monitoring is carried-out by sweep-net. Groups of potato plants are sampled at regular intervals (Vernon &amp; Herk,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this program allowed a reduction of more than 90% spraying of the crops, and this reduction largely compensated for the costs associated with monitoring (Vernon &amp; Herk, 2017). This high reduction was possible because the treatments could be directed to specific spots or rows infested by the beetles, avoiding spraying the entire crop. Early treatments, when necessary, are often sufficient to reduce oviposition from the overwintered females, eliminating the need for subsequent repeated sprays against the adults of the summer generations.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North America and Ecuador indicates that the species would find suitable climatic conditions in the EPPO region. One could expect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develop one or two generations in many of the potato-growing areas of Central and Northern Europe (EPPO, 2011), and possibly also in southern regions. While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could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accidental introduction of the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Portugal and Spain,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subject, together with </w:t>
      </w:r>
      <w:r>
        <w:rPr>
          <w:rFonts w:ascii="Calibri" w:hAnsi="Calibri" w:eastAsia="Calibri" w:cs="Calibri"/>
          <w:i/>
          <w:iCs/>
          <w:color w:val="000000"/>
          <w:sz w:val="22"/>
          <w:szCs w:val="22"/>
        </w:rPr>
        <w:t xml:space="preserve">E. cucumeris, 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measures by several EPPO countries to prevent their introduction and spread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for seed potatoes (except micropropagative material and minitubers) and ware potatoes to be imported from third countries. According to EPPO Standard PM 8/1 (EPPO, 2017) seed potatoes should be washed or brushed so that they are free from plant debris with no more than 0.1% w/w of soil remaining; and where appropriate subject to transitional arrangements (pest-free area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origin from a pest-free potato production and distribution system for the pest, according to EPPO Standard PM 3/61 (EPPO, 2019)). Ware potatoes should either (a) originate from a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according to EPPO Standard PM 3/61 (EPPO, 2019) or (b) measures as described in EPPO Standard PM 9/22 (EPPO, 2016)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should be implemented to ensure that there is no risk of spreading this pest, or (c) there should be absence of plant debris with no more than 0.1% w/w of remaining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3811668502e9486a7" w:history="1">
        <w:r>
          <w:rPr>
            <w:rFonts w:ascii="Calibri" w:hAnsi="Calibri" w:eastAsia="Calibri" w:cs="Calibri"/>
            <w:color w:val="0000CC"/>
            <w:sz w:val="22"/>
            <w:szCs w:val="22"/>
            <w:u w:val="single"/>
          </w:rPr>
          <w:t xml:space="preserve">http://dx.doi.org/10.11646/zootaxa.4268.4.4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Bechyné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Faune de France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9840668502e948870" w:history="1">
        <w:r>
          <w:rPr>
            <w:rFonts w:ascii="Calibri" w:hAnsi="Calibri" w:eastAsia="Calibri" w:cs="Calibri"/>
            <w:color w:val="0000CC"/>
            <w:sz w:val="22"/>
            <w:szCs w:val="22"/>
            <w:u w:val="single"/>
          </w:rPr>
          <w:t xml:space="preserve">https://doi.org/10.2903/sp.efsa.2019.EN-1571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7586668502e9488c5"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3293668502e948976"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2529668502e948a17"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7432668502e948a95"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4313668502e948b13"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Official Journal of the European Union.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(1962) The tuber flea beetle in British Columbia. </w:t>
      </w:r>
      <w:r>
        <w:rPr>
          <w:rFonts w:ascii="Calibri" w:hAnsi="Calibri" w:eastAsia="Calibri" w:cs="Calibri"/>
          <w:i/>
          <w:iCs/>
          <w:color w:val="000000"/>
          <w:sz w:val="22"/>
          <w:szCs w:val="22"/>
        </w:rPr>
        <w:t xml:space="preserve">Canada Department of Agriculture Publication</w:t>
      </w:r>
      <w:r>
        <w:rPr>
          <w:rFonts w:ascii="Calibri" w:hAnsi="Calibri" w:eastAsia="Calibri" w:cs="Calibri"/>
          <w:color w:val="000000"/>
          <w:sz w:val="22"/>
          <w:szCs w:val="22"/>
        </w:rPr>
        <w:t xml:space="preserve"> No. 938. Available online: </w:t>
      </w:r>
      <w:hyperlink r:id="rId9003668502e948bf1" w:history="1">
        <w:r>
          <w:rPr>
            <w:rFonts w:ascii="Calibri" w:hAnsi="Calibri" w:eastAsia="Calibri" w:cs="Calibri"/>
            <w:color w:val="0000CC"/>
            <w:sz w:val="22"/>
            <w:szCs w:val="22"/>
            <w:u w:val="single"/>
          </w:rPr>
          <w:t xml:space="preserve">http://publications.gc.ca/pub?id=9.800647&amp;sl=0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9206668502e948d3a"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(1946) Influence of food plants on fecundity, larval development and abundance of the tuber flea beetle in Nebraska. </w:t>
      </w:r>
      <w:r>
        <w:rPr>
          <w:rFonts w:ascii="Calibri" w:hAnsi="Calibri" w:eastAsia="Calibri" w:cs="Calibri"/>
          <w:i/>
          <w:iCs/>
          <w:color w:val="000000"/>
          <w:sz w:val="22"/>
          <w:szCs w:val="22"/>
        </w:rPr>
        <w:t xml:space="preserve">Research Bulletin of the Nebraska Experimental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w:t>
      </w:r>
      <w:r>
        <w:rPr>
          <w:rFonts w:ascii="Calibri" w:hAnsi="Calibri" w:eastAsia="Calibri" w:cs="Calibri"/>
          <w:i/>
          <w:iCs/>
          <w:color w:val="000000"/>
          <w:sz w:val="22"/>
          <w:szCs w:val="22"/>
        </w:rPr>
        <w:t xml:space="preserve"> Entomology Section. </w:t>
      </w:r>
      <w:r>
        <w:rPr>
          <w:rFonts w:ascii="Calibri" w:hAnsi="Calibri" w:eastAsia="Calibri" w:cs="Calibri"/>
          <w:color w:val="000000"/>
          <w:sz w:val="22"/>
          <w:szCs w:val="22"/>
        </w:rPr>
        <w:t xml:space="preserve">Bulletin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 </w:t>
      </w:r>
      <w:hyperlink r:id="rId6465668502e948ed1" w:history="1">
        <w:r>
          <w:rPr>
            <w:rFonts w:ascii="Calibri" w:hAnsi="Calibri" w:eastAsia="Calibri" w:cs="Calibri"/>
            <w:color w:val="0000CC"/>
            <w:sz w:val="22"/>
            <w:szCs w:val="22"/>
            <w:u w:val="single"/>
          </w:rPr>
          <w:t xml:space="preserve">https://doi.org/10.1093/jee/37.1.9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5381668502e948f4d"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6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(2016)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6673668502e948ff1"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Neilson CL &amp; Finlayson DG (1953) Notes on the biology of the tuber flea beetle,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(Coleoptera: Chrysomelidae) in the interior of British Colombia.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31-32.</w:t>
      </w:r>
    </w:p>
    <w:p>
      <w:pPr>
        <w:widowControl w:val="on"/>
        <w:pBdr/>
        <w:spacing w:before="220" w:after="220" w:line="240" w:lineRule="auto"/>
        <w:ind w:left="0" w:right="0"/>
        <w:jc w:val="left"/>
      </w:pPr>
      <w:r>
        <w:rPr>
          <w:rFonts w:ascii="Calibri" w:hAnsi="Calibri" w:eastAsia="Calibri" w:cs="Calibri"/>
          <w:color w:val="000000"/>
          <w:sz w:val="22"/>
          <w:szCs w:val="22"/>
        </w:rPr>
        <w:t xml:space="preserve">Seeno TN &amp; Andrews FG (1972) Alticinae of California, Part I: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53-61. Retrieved May 22, 2020, from </w:t>
      </w:r>
      <w:hyperlink r:id="rId4180668502e949108" w:history="1">
        <w:r>
          <w:rPr>
            <w:rFonts w:ascii="Calibri" w:hAnsi="Calibri" w:eastAsia="Calibri" w:cs="Calibri"/>
            <w:color w:val="0000CC"/>
            <w:sz w:val="22"/>
            <w:szCs w:val="22"/>
            <w:u w:val="single"/>
          </w:rPr>
          <w:t xml:space="preserve">www.jstor.org/stable/3999405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 </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R &amp; Herk W (2017) Wireworm and flea beetle IPM in potatoes in Canada: implications for managing emergent problems in Europe.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269-285. </w:t>
      </w:r>
      <w:hyperlink r:id="rId9661668502e949244" w:history="1">
        <w:r>
          <w:rPr>
            <w:rFonts w:ascii="Calibri" w:hAnsi="Calibri" w:eastAsia="Calibri" w:cs="Calibri"/>
            <w:color w:val="0000CC"/>
            <w:sz w:val="22"/>
            <w:szCs w:val="22"/>
            <w:u w:val="single"/>
          </w:rPr>
          <w:t xml:space="preserve">https://doi.org/10.1007/s11540-018-9355-6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(1957) Seasonal abundance and host plants of the tuber flea beetle in the Rocky Mountain region.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435-437.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Conceição Boavida (Instituto Nacional de Investigação Agrária e Veterinária, I.P.,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EPPO datasheets on pests recommended for regulation. Available online. </w:t>
      </w:r>
      <w:hyperlink r:id="rId6775668502e94936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Data sheets on quarantine organisms no. 165: </w:t>
      </w:r>
      <w:r>
        <w:rPr>
          <w:rFonts w:ascii="Calibri" w:hAnsi="Calibri" w:eastAsia="Calibri" w:cs="Calibri"/>
          <w:i/>
          <w:iCs/>
          <w:color w:val="000000"/>
          <w:sz w:val="22"/>
          <w:szCs w:val="22"/>
        </w:rPr>
        <w:t xml:space="preserve">Epitrix tuberi</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671-676. </w:t>
      </w:r>
      <w:hyperlink r:id="rId2980668502e9494da" w:history="1">
        <w:r>
          <w:rPr>
            <w:rFonts w:ascii="Calibri" w:hAnsi="Calibri" w:eastAsia="Calibri" w:cs="Calibri"/>
            <w:color w:val="0000CC"/>
            <w:sz w:val="22"/>
            <w:szCs w:val="22"/>
            <w:u w:val="single"/>
          </w:rPr>
          <w:t xml:space="preserve">https://onlinelibrary.wiley.com/doi/epdf/10.1111/j.1365-2338.1989.tb01158.x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9727245" name="name3138668502e9496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56668502e9496c6"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656259">
    <w:multiLevelType w:val="hybridMultilevel"/>
    <w:lvl w:ilvl="0" w:tplc="38795788">
      <w:start w:val="1"/>
      <w:numFmt w:val="decimal"/>
      <w:lvlText w:val="%1."/>
      <w:lvlJc w:val="left"/>
      <w:pPr>
        <w:ind w:left="720" w:hanging="360"/>
      </w:pPr>
    </w:lvl>
    <w:lvl w:ilvl="1" w:tplc="38795788" w:tentative="1">
      <w:start w:val="1"/>
      <w:numFmt w:val="lowerLetter"/>
      <w:lvlText w:val="%2."/>
      <w:lvlJc w:val="left"/>
      <w:pPr>
        <w:ind w:left="1440" w:hanging="360"/>
      </w:pPr>
    </w:lvl>
    <w:lvl w:ilvl="2" w:tplc="38795788" w:tentative="1">
      <w:start w:val="1"/>
      <w:numFmt w:val="lowerRoman"/>
      <w:lvlText w:val="%3."/>
      <w:lvlJc w:val="right"/>
      <w:pPr>
        <w:ind w:left="2160" w:hanging="180"/>
      </w:pPr>
    </w:lvl>
    <w:lvl w:ilvl="3" w:tplc="38795788" w:tentative="1">
      <w:start w:val="1"/>
      <w:numFmt w:val="decimal"/>
      <w:lvlText w:val="%4."/>
      <w:lvlJc w:val="left"/>
      <w:pPr>
        <w:ind w:left="2880" w:hanging="360"/>
      </w:pPr>
    </w:lvl>
    <w:lvl w:ilvl="4" w:tplc="38795788" w:tentative="1">
      <w:start w:val="1"/>
      <w:numFmt w:val="lowerLetter"/>
      <w:lvlText w:val="%5."/>
      <w:lvlJc w:val="left"/>
      <w:pPr>
        <w:ind w:left="3600" w:hanging="360"/>
      </w:pPr>
    </w:lvl>
    <w:lvl w:ilvl="5" w:tplc="38795788" w:tentative="1">
      <w:start w:val="1"/>
      <w:numFmt w:val="lowerRoman"/>
      <w:lvlText w:val="%6."/>
      <w:lvlJc w:val="right"/>
      <w:pPr>
        <w:ind w:left="4320" w:hanging="180"/>
      </w:pPr>
    </w:lvl>
    <w:lvl w:ilvl="6" w:tplc="38795788" w:tentative="1">
      <w:start w:val="1"/>
      <w:numFmt w:val="decimal"/>
      <w:lvlText w:val="%7."/>
      <w:lvlJc w:val="left"/>
      <w:pPr>
        <w:ind w:left="5040" w:hanging="360"/>
      </w:pPr>
    </w:lvl>
    <w:lvl w:ilvl="7" w:tplc="38795788" w:tentative="1">
      <w:start w:val="1"/>
      <w:numFmt w:val="lowerLetter"/>
      <w:lvlText w:val="%8."/>
      <w:lvlJc w:val="left"/>
      <w:pPr>
        <w:ind w:left="5760" w:hanging="360"/>
      </w:pPr>
    </w:lvl>
    <w:lvl w:ilvl="8" w:tplc="38795788" w:tentative="1">
      <w:start w:val="1"/>
      <w:numFmt w:val="lowerRoman"/>
      <w:lvlText w:val="%9."/>
      <w:lvlJc w:val="right"/>
      <w:pPr>
        <w:ind w:left="6480" w:hanging="180"/>
      </w:pPr>
    </w:lvl>
  </w:abstractNum>
  <w:abstractNum w:abstractNumId="31656258">
    <w:multiLevelType w:val="hybridMultilevel"/>
    <w:lvl w:ilvl="0" w:tplc="359301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56258">
    <w:abstractNumId w:val="31656258"/>
  </w:num>
  <w:num w:numId="31656259">
    <w:abstractNumId w:val="316562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2369457" Type="http://schemas.microsoft.com/office/2011/relationships/commentsExtended" Target="commentsExtended.xml"/><Relationship Id="rId302656614" Type="http://schemas.microsoft.com/office/2011/relationships/people" Target="people.xml"/><Relationship Id="rId8388668502e945076" Type="http://schemas.openxmlformats.org/officeDocument/2006/relationships/hyperlink" Target="https://gd.eppo.int/taxon/EPIXTU/" TargetMode="External"/><Relationship Id="rId6589668502e9450e1" Type="http://schemas.openxmlformats.org/officeDocument/2006/relationships/hyperlink" Target="https://gd.eppo.int/taxon/EPIXTU/categorization" TargetMode="External"/><Relationship Id="rId1357668502e945c28" Type="http://schemas.openxmlformats.org/officeDocument/2006/relationships/hyperlink" Target="https://gd.eppo.int/taxon/EPIXTU/photos" TargetMode="External"/><Relationship Id="rId3811668502e9486a7" Type="http://schemas.openxmlformats.org/officeDocument/2006/relationships/hyperlink" Target="http://dx.doi.org/10.11646/zootaxa.4268.4.4" TargetMode="External"/><Relationship Id="rId9840668502e948870" Type="http://schemas.openxmlformats.org/officeDocument/2006/relationships/hyperlink" Target="https://doi.org/10.2903/sp.efsa.2019.EN-1571" TargetMode="External"/><Relationship Id="rId7586668502e9488c5" Type="http://schemas.openxmlformats.org/officeDocument/2006/relationships/hyperlink" Target="http://www.eppo.int/QUARANTINE/Pest_Risk_Analysis/PRA_intro.htm" TargetMode="External"/><Relationship Id="rId3293668502e948976" Type="http://schemas.openxmlformats.org/officeDocument/2006/relationships/hyperlink" Target="https://doi.org/10.1111/epp.12349" TargetMode="External"/><Relationship Id="rId2529668502e948a17" Type="http://schemas.openxmlformats.org/officeDocument/2006/relationships/hyperlink" Target="https://doi.org/10.1111/epp.12362" TargetMode="External"/><Relationship Id="rId7432668502e948a95" Type="http://schemas.openxmlformats.org/officeDocument/2006/relationships/hyperlink" Target="https://doi.org/10.1111/epp.12418" TargetMode="External"/><Relationship Id="rId4313668502e948b13" Type="http://schemas.openxmlformats.org/officeDocument/2006/relationships/hyperlink" Target="https://doi.org/10.1111/epp.12617" TargetMode="External"/><Relationship Id="rId9003668502e948bf1" Type="http://schemas.openxmlformats.org/officeDocument/2006/relationships/hyperlink" Target="http://publications.gc.ca/pub?id=9.800647&amp;sl=0" TargetMode="External"/><Relationship Id="rId9206668502e948d3a" Type="http://schemas.openxmlformats.org/officeDocument/2006/relationships/hyperlink" Target="https://doi.org/10.1017/S000748531200079X" TargetMode="External"/><Relationship Id="rId6465668502e948ed1" Type="http://schemas.openxmlformats.org/officeDocument/2006/relationships/hyperlink" Target="https://doi.org/10.1093/jee/37.1.9" TargetMode="External"/><Relationship Id="rId5381668502e948f4d" Type="http://schemas.openxmlformats.org/officeDocument/2006/relationships/hyperlink" Target="https://link.springer.com/content/pdf/10.1007%2FBF02862912.pdf" TargetMode="External"/><Relationship Id="rId6673668502e948ff1" Type="http://schemas.openxmlformats.org/officeDocument/2006/relationships/hyperlink" Target="http://dx.doi.org/10.1017/S0007485316000559" TargetMode="External"/><Relationship Id="rId4180668502e949108" Type="http://schemas.openxmlformats.org/officeDocument/2006/relationships/hyperlink" Target="http://www.jstor.org/stable/3999405" TargetMode="External"/><Relationship Id="rId9661668502e949244" Type="http://schemas.openxmlformats.org/officeDocument/2006/relationships/hyperlink" Target="https://doi.org/10.1007/s11540-018-9355-6" TargetMode="External"/><Relationship Id="rId6775668502e949365" Type="http://schemas.openxmlformats.org/officeDocument/2006/relationships/hyperlink" Target="https://gd.eppo.int" TargetMode="External"/><Relationship Id="rId2980668502e9494da" Type="http://schemas.openxmlformats.org/officeDocument/2006/relationships/hyperlink" Target="https://onlinelibrary.wiley.com/doi/epdf/10.1111/j.1365-2338.1989.tb01158.x" TargetMode="External"/><Relationship Id="rId4349668502e945ad7" Type="http://schemas.openxmlformats.org/officeDocument/2006/relationships/image" Target="media/imgrId4349668502e945ad7.jpg"/><Relationship Id="rId7671668502e947737" Type="http://schemas.openxmlformats.org/officeDocument/2006/relationships/image" Target="media/imgrId7671668502e947737.jpg"/><Relationship Id="rId2556668502e9496c6" Type="http://schemas.openxmlformats.org/officeDocument/2006/relationships/image" Target="media/imgrId2556668502e9496c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