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Euwallacea fornicatus sensu stricto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fornicatus sensu stricto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Euwallacea whitfordiodendrus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Xyleborus fornicatus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Xyleborus tapatapaoensis</w:t>
            </w:r>
            <w:r>
              <w:rPr>
                <w:rFonts w:ascii="Calibri" w:hAnsi="Calibri" w:eastAsia="Calibri" w:cs="Calibri"/>
                <w:color w:val="000000"/>
                <w:position w:val="-3"/>
                <w:sz w:val="22"/>
                <w:szCs w:val="22"/>
              </w:rPr>
              <w:t xml:space="preserve"> Schedl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polyphagous shot-hole borer</w:t>
            </w:r>
            <w:hyperlink r:id="rId153468051945533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EUWAWH</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Eichhoff. Numerous other similar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were described and synonymized, and the species was assumed to be variable. After the invasion of different populations, it became clear that the variation assumed for the species corresponded to different cryptic species (Stouthamer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the taxon was referred to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This complex was referred to by different common names, the polyphagous shot hole borer (PSHB), Kuroshio shot hole borer (KSHB) and tea shot hole borer (TSHB). After a review of the species complex using an integrated approach with morphometrics and molecular tools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syntype of </w:t>
      </w:r>
      <w:r>
        <w:rPr>
          <w:rFonts w:ascii="Calibri" w:hAnsi="Calibri" w:eastAsia="Calibri" w:cs="Calibri"/>
          <w:i/>
          <w:iCs/>
          <w:color w:val="000000"/>
          <w:sz w:val="22"/>
          <w:szCs w:val="22"/>
        </w:rPr>
        <w:t xml:space="preserve">Xyleborus fornicatus</w:t>
      </w:r>
      <w:r>
        <w:rPr>
          <w:rFonts w:ascii="Calibri" w:hAnsi="Calibri" w:eastAsia="Calibri" w:cs="Calibri"/>
          <w:color w:val="000000"/>
          <w:sz w:val="22"/>
          <w:szCs w:val="22"/>
        </w:rPr>
        <w:t xml:space="preserve"> was rediscovered and all of the species within the complex were validated by morphometric and phylogenetic analyses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complex includes: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fornicatior</w:t>
      </w:r>
      <w:r>
        <w:rPr>
          <w:rFonts w:ascii="Calibri" w:hAnsi="Calibri" w:eastAsia="Calibri" w:cs="Calibri"/>
          <w:color w:val="000000"/>
          <w:sz w:val="22"/>
          <w:szCs w:val="22"/>
        </w:rPr>
        <w:t xml:space="preserve"> (Eggers), </w:t>
      </w:r>
      <w:r>
        <w:rPr>
          <w:rFonts w:ascii="Calibri" w:hAnsi="Calibri" w:eastAsia="Calibri" w:cs="Calibri"/>
          <w:i/>
          <w:iCs/>
          <w:color w:val="000000"/>
          <w:sz w:val="22"/>
          <w:szCs w:val="22"/>
        </w:rPr>
        <w:t xml:space="preserve">E. kuroshio</w:t>
      </w:r>
      <w:r>
        <w:rPr>
          <w:rFonts w:ascii="Calibri" w:hAnsi="Calibri" w:eastAsia="Calibri" w:cs="Calibri"/>
          <w:color w:val="000000"/>
          <w:sz w:val="22"/>
          <w:szCs w:val="22"/>
        </w:rPr>
        <w:t xml:space="preserve"> Gomez and Hulcr, and </w:t>
      </w:r>
      <w:r>
        <w:rPr>
          <w:rFonts w:ascii="Calibri" w:hAnsi="Calibri" w:eastAsia="Calibri" w:cs="Calibri"/>
          <w:i/>
          <w:iCs/>
          <w:color w:val="000000"/>
          <w:sz w:val="22"/>
          <w:szCs w:val="22"/>
        </w:rPr>
        <w:t xml:space="preserve">E. perbrevis</w:t>
      </w:r>
      <w:r>
        <w:rPr>
          <w:rFonts w:ascii="Calibri" w:hAnsi="Calibri" w:eastAsia="Calibri" w:cs="Calibri"/>
          <w:color w:val="000000"/>
          <w:sz w:val="22"/>
          <w:szCs w:val="22"/>
        </w:rPr>
        <w:t xml:space="preserve"> (Schedl). These taxonomic changes shifted the species names associated with the widely used common names.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is therefore the ‘Polyphagous Shot Hole Borer’ and </w:t>
      </w:r>
      <w:r>
        <w:rPr>
          <w:rFonts w:ascii="Calibri" w:hAnsi="Calibri" w:eastAsia="Calibri" w:cs="Calibri"/>
          <w:i/>
          <w:iCs/>
          <w:color w:val="000000"/>
          <w:sz w:val="22"/>
          <w:szCs w:val="22"/>
        </w:rPr>
        <w:t xml:space="preserve">Euwallacea perbrevis</w:t>
      </w:r>
      <w:r>
        <w:rPr>
          <w:rFonts w:ascii="Calibri" w:hAnsi="Calibri" w:eastAsia="Calibri" w:cs="Calibri"/>
          <w:color w:val="000000"/>
          <w:sz w:val="22"/>
          <w:szCs w:val="22"/>
        </w:rPr>
        <w:t xml:space="preserve"> is the ‘Tea Shot Hole Borer’.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has a broad host range.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updated the list of hosts to 412 plant species in 75 families; 109 are reported as breeding hosts, 95 are commercial timber tree species and 43 are species used for fruit production. Recently, after the report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South America, new additional hosts were recorded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United States (California), the beetles were found on more than 200 hosts, though only 19 of these were shown to be reproductive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auriculiformis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retinodes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victoriae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wilkesiana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obtusifolium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Adansonia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Afzelia quanzensis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Agonis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adianthifolia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kalkora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lebbeck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moluccanus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jorullensis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Aloysia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Anisodontea scabrosa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prionotes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petersiana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 var. candida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miersii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Bossiaea 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diversifolius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populneus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Brachylaena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hindsiana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surinamensis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salignus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chrysanthoides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drupifera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grijsii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indochinensis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rosiflora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x williamsii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fistula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obesa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caeruleus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Chiranthodendron pentadactylon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Chorisia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glanduliferum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montevidense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erythrophyllum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 kraussii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harveyi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calophylla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Crinodendron patagua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Cunonia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Dahlstedtia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Dalbergia sissoo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dichrophylla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whyteana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Diploglottis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tiliacea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Ebenopsis ebano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chiriquensis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flabelliformis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folkersii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livingstoniana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bidwillii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cladocalyx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diversicolor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froggattii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gomphocephala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kitsoniana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leucoxylon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perriniana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Faidherbia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sycomorus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olivacea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multilineata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Halleria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Handroanthus impetiginosus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Hauya elegans subsp.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Heteropterys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Homalanthus populifolius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Hovenia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uruguensis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cuspidifolia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mcvaughii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Kigelia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Kiggelaria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Lagunaria patersonia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Lambertia 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Leonotis leonurus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ovalifolium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Lonchocarpus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campbellii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guatemalensis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hodgsonii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sargentiana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sharpii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sprengeri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tamaulipana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brooklynensis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rhaphiophylla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teretifolia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Mezoneuron kauaiense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Milicia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Myrsine melanophloeos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Neolitsea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Nuxia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Ochroma pyramidale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Olinia ventosa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Olneya tesota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Pararchidendron pruinosum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Peltophorum africanum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Peumus boldus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Phellodendron amurense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terebinthus subsp. palaestina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Podalyria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henkelii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Protea mundii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Pseudobombax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Quararibea funebris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brantii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castaneifolia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chihuahuensis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dentata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hartwissiana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ithaburensis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look</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pontica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 subsp. pedunculiflora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rosacea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x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Ricinocarpos pinifolius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Robinsonella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eastwoodiae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exigua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polygama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chirindensis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Searsia lancea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burkei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candolleana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x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granuloso-leprosum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Sparrmannia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Spyridium globulosum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Stenocarpus sinuatus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quadrifida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 cacalaco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stans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Templetonia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Tetrapanax papyrifer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Tipuana tipu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emetica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campeachiana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caven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farnesiana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 var. woodii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sieberiana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oroboides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Wigandia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Xylomelum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carpinifolia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Zenia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All species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are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considered to be native in China, Japan, Malaysia, Samoa, Sri Lanka, Taiwan, Thailand, and Vietnam, has been introduced into Argentina, Israel, South Africa, United States (California and Hawaii), and Europe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Outbreaks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(species complex) reported in Europe correspond to findings in greenhouses: Poland (Poznan-2019), Italy (Merano-2020),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Poland, Italy, Erfurt (Germany) and the Netherlands, the eradication of the plants (or infested part of the plants) resulted in the successful eradication of the beetles, whereas the eradication process in Berlin is reported to be still in progress.</w:t>
      </w:r>
    </w:p>
    <w:p>
      <w:r>
        <w:drawing>
          <wp:inline distT="0" distB="0" distL="0" distR="0">
            <wp:extent cx="6120000" cy="3067200"/>
            <wp:docPr id="93007405" name="name4603680519455a345" descr="EUWAW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WAWH_distribution_map.jpg"/>
                    <pic:cNvPicPr/>
                  </pic:nvPicPr>
                  <pic:blipFill>
                    <a:blip r:embed="rId2551680519455a3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Most ambrosia beetle species attack only plants that died recently or are dying. However, a few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where tree pathogens producing localized necrosis cause a significant amount of damage when inoculated by a large number of beetles (Smith &amp; Hulcr, 2015).</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this species will typically make a divided or simple gallery encircling the stem, with a few longitudinal tunnels in small branches (Browne, 1961). Eggs are laid individually or in small clusters once the entrance tunnel has been completed. Diploid females produce haploid male offspring from unfertilized eggs, as is the case for other ambrosia beetles in the tribe Xyleborini. Newly emerged females stay in the galleries for several days where they are fertilized by the few brothers present. After mating, females leave the gallery through the original entrance hole (Browne, 1961). Adults develop in 22 days at 24°C (75°F), producing 57 female adults in 6 weeks, 7% of which are males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which has three instars (as typical of Xyleborini), feed entirely on symbiotic ambrosia fungi cultivated in longitudinal galleries of twigs and transverse galleries of thicker branches (Gadd, 1941). The fungi are transported to new trees in specialized pocket-like structures called mycangia (Batra, 1967). The fungi are obligate symbionts of the beetles and serve as their source of nutrition, with severe pathogenic effects for some plant species.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symbiotic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associated with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causing branch dieback once introduced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The symbiotic fungus invades the tree vascular tissue, causing cambial necrosis, sugar or gum exudates, branch dieback, and mortality of a broad range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very small, round and partly translucent, with a smooth surface. They are laid singly or in groups. Freshly laid eggs are pale, but they gradually darken before eclosion, hatching in 4 to 6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mature larva is about 3.5 mm long and 1.1 mm wide (Gardner, 1964). Larvae are white, legless, C-shaped, with a reddish head, taking 16-18 days to pupate. The head is colourless, about 0.5 mm wide, with the anterior margin nearly straight. The body integument is smooth except for a few scattered minute spicules.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similar in size to the adults and are white. Adults emerge after 7-9 days.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of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can only be distinguished from other Xyleborini by a combination of characters including unarmed pronotal margin, contiguous procoxae, having an obliquely costate dorsolateral margin of the pronotum, semicircular foretibiae, and have only sparse setae and small declivital denticles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 identify specifically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several morphological characters can be used, and all specimens fit within these measurement ranges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Total length is 2.60 mm − 2.70 mm. Elytral length of 1.44–1.72 mm, 8–9 socketed denticles in the margin of protibial. The pronotal width is 1.00–1.14 mm and the elytral width is 0.48–0.62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not attracted to ethanol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Quercivorol and α-copaene have shown to be attractants, with synergistic effects increasing captures when combined (Dodge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Sticky panels and black interception traps have been shown to be more efficient at capturing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than Lindgren traps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Cooperband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the existence of two pheromones, 2-heneicosanone and 2-tricosanone. Pheromones have rarely been reported for ambrosia beetles within the Scolytinae with just a few known examples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Borden &amp; Slater, 1969; Francke &amp; Heemann, 1974); these are probably involved in social behaviour inside galleries and the ecological and applied implications are yet to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hosts, such as avocado, should be surveyed periodically for trees showing branch dieback and signs of beetle attack at junctions of small and mid-size shaded branches showing the presence of exit holes which have been described as white ‘sugar volcanoes’. Compacted frass and sawdust are also a (non-specific) sign of infestation, typically seen in the base of branches and in the trunk.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Active flight is one of the main means of movement to previously uninfested areas. Adult females can fly up to 400 m, but usually will attack hosts in a range of 35 m. However, the movement of timber and wood packaging material, such as dunnage and crating, has led to increasing transport and establishment of ambrosia beetles. The main pathway for ambrosia beetles such as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wood packaging material and timber trade. Movements of infested host plants for planting can also transport all stages of the pest; attacks can be found on branches as small as 2 cm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Argentina, South Africa, California, Israel, and throughout Asia.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bores and tunnels into the trunk, stems and branches of healthy trees and causes damage through mass accumulation. Females usually colonize the base of secondary branches, resulting in localized branch dieback. Additionally, aside from negatively impacting the tree’s health, these attacks weaken its structure, posing a potential hazard to both people and property.</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has caused severe impacts to the avocado industry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South Africa, it is considered the most damaging tree pest introduced in the country, with high impacts in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Argentina, it was found colonizing the main trunks and the base of secondary branches of maples, although other hosts were reported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colonization led to localized branch dieback and/or structural damage within a span of less than 12 months, while complete tree death typically occurs around 24 months. In California (United States), it poses a great ecological and environmental threat to infested areas by attacking a wide range of ornamental, and agriculturally important hardwood species hosts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is based on early detection, sanitation measures and preventive measures. Infested branches should be removed and destroyed (chipped, burned or buried). Heavily infested trees need to be destroyed (chipped, burned, or covered by a tarp under direct sun for ‘solarization’). Solarization works best using polyethylene sheeting during high temperature months, with ambient temperatures at least 35°C (95°F) (Jones &amp;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Injecting systemic insecticides can help with protection of high-value ornamental trees. Preventative treatments with emamectin benzoate alone (systemic insecticide) or combined with propiconazole (systemic fungicide), reduces significantly the attack and colonization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Injection into trees that are already infested typically does not work. Preventative insecticide sprays on bark surface work for ambrosia beetles, but need to be re-applied frequently because the effect only lasts between 4 and 8 weeks. Bark penetrant should be used to assure an extended effect.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very wide range of host plants have been recorded for many of the species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and related genera. Any woody material of a suitable size and moisture content may be infested. The direct risk of establishment of populations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into areas of the world outside its present distribution, and particularly into further tropical and subtropical parts of Africa and the Americas, should be considered as a serious threat to natural and planted ecosystems. In the EPPO region, incursions in glasshouses show that pathways for entry do exist, and the presence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in Israel demonstrates that the pest has the potential to establish and cause damage on avocadoes in the Southern part of the region. Following a pest risk analysis, it has been considered that this insect (and its associated symbiont) was a serious threat to fruit crops and other woody plants grown for agricultural, forestry, and ornamental purposes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increasing global movement of commodities has increased significantly the transport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and related species in timber and wood packaging material, such as dunnage and crating. International Standards for Phytosanitary Measures No. 15 (ISPM 15) provides guidance for establishing measures to reduce the risk of pests associated with all types of wood packaging material. ISPM 15 affects all wood packaging material (pallets, crates, dunnage, etc.) and requires that they be debarked and then treated, and stamped or branded with a mark of compliance. Round wood or sawn wood (with or without bark) of host trees, as well as wood chips and other wooden products, should come from a pest free area or should have been treated to eliminate the pest. For host plants for planting, it may be required that they should originate from pest-free areas or pest-free production sites where plants are grown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(1967) Ambrosia fungi: A taxonomic revision, and nutritional studies of some species.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(6), 976–1017. </w:t>
      </w:r>
      <w:hyperlink r:id="rId5686680519455b604" w:history="1">
        <w:r>
          <w:rPr>
            <w:rFonts w:ascii="Calibri" w:hAnsi="Calibri" w:eastAsia="Calibri" w:cs="Calibri"/>
            <w:color w:val="0000CC"/>
            <w:sz w:val="22"/>
            <w:szCs w:val="22"/>
            <w:u w:val="single"/>
          </w:rPr>
          <w:t xml:space="preserve">https://doi.org/10.1080/00275514.1967.12018485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Chong L, McLean JA, Slessor KN &amp; Mori K (1976) </w:t>
      </w:r>
      <w:r>
        <w:rPr>
          <w:rFonts w:ascii="Calibri" w:hAnsi="Calibri" w:eastAsia="Calibri" w:cs="Calibri"/>
          <w:i/>
          <w:iCs/>
          <w:color w:val="000000"/>
          <w:sz w:val="22"/>
          <w:szCs w:val="22"/>
        </w:rPr>
        <w:t xml:space="preserve">Gnathotrichus sulcatus</w:t>
      </w:r>
      <w:r>
        <w:rPr>
          <w:rFonts w:ascii="Calibri" w:hAnsi="Calibri" w:eastAsia="Calibri" w:cs="Calibri"/>
          <w:color w:val="000000"/>
          <w:sz w:val="22"/>
          <w:szCs w:val="22"/>
        </w:rPr>
        <w:t xml:space="preserve">: Synergistic response to enantiomers of the aggregation pheromone sulcatol.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192</w:t>
      </w:r>
      <w:r>
        <w:rPr>
          <w:rFonts w:ascii="Calibri" w:hAnsi="Calibri" w:eastAsia="Calibri" w:cs="Calibri"/>
          <w:color w:val="000000"/>
          <w:sz w:val="22"/>
          <w:szCs w:val="22"/>
        </w:rPr>
        <w:t xml:space="preserve">(4242), 894–896. </w:t>
      </w:r>
      <w:hyperlink r:id="rId2269680519455b6fd" w:history="1">
        <w:r>
          <w:rPr>
            <w:rFonts w:ascii="Calibri" w:hAnsi="Calibri" w:eastAsia="Calibri" w:cs="Calibri"/>
            <w:color w:val="0000CC"/>
            <w:sz w:val="22"/>
            <w:szCs w:val="22"/>
            <w:u w:val="single"/>
          </w:rPr>
          <w:t xml:space="preserve">https://doi.org/10.1126/science.1273573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Borden JH &amp; Slater CE (1969) Sex pheromone of </w:t>
      </w:r>
      <w:r>
        <w:rPr>
          <w:rFonts w:ascii="Calibri" w:hAnsi="Calibri" w:eastAsia="Calibri" w:cs="Calibri"/>
          <w:i/>
          <w:iCs/>
          <w:color w:val="000000"/>
          <w:sz w:val="22"/>
          <w:szCs w:val="22"/>
        </w:rPr>
        <w:t xml:space="preserve">Trypodendron lineatum</w:t>
      </w:r>
      <w:r>
        <w:rPr>
          <w:rFonts w:ascii="Calibri" w:hAnsi="Calibri" w:eastAsia="Calibri" w:cs="Calibri"/>
          <w:color w:val="000000"/>
          <w:sz w:val="22"/>
          <w:szCs w:val="22"/>
        </w:rPr>
        <w:t xml:space="preserve">: Production in the female hindgut-Malpighian tubule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(2), 454–455. </w:t>
      </w:r>
      <w:hyperlink r:id="rId3268680519455b79a" w:history="1">
        <w:r>
          <w:rPr>
            <w:rFonts w:ascii="Calibri" w:hAnsi="Calibri" w:eastAsia="Calibri" w:cs="Calibri"/>
            <w:color w:val="0000CC"/>
            <w:sz w:val="22"/>
            <w:szCs w:val="22"/>
            <w:u w:val="single"/>
          </w:rPr>
          <w:t xml:space="preserve">https://doi.org/10.1093/aesa/62.2.454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Browne FG (1961) The generic characters, habits and taxonomic status of </w:t>
      </w:r>
      <w:r>
        <w:rPr>
          <w:rFonts w:ascii="Calibri" w:hAnsi="Calibri" w:eastAsia="Calibri" w:cs="Calibri"/>
          <w:i/>
          <w:iCs/>
          <w:color w:val="000000"/>
          <w:sz w:val="22"/>
          <w:szCs w:val="22"/>
        </w:rPr>
        <w:t xml:space="preserve">Premnobius</w:t>
      </w:r>
      <w:r>
        <w:rPr>
          <w:rFonts w:ascii="Calibri" w:hAnsi="Calibri" w:eastAsia="Calibri" w:cs="Calibri"/>
          <w:color w:val="000000"/>
          <w:sz w:val="22"/>
          <w:szCs w:val="22"/>
        </w:rPr>
        <w:t xml:space="preserve"> Eichhoff (Coleoptera, Scolytidae). </w:t>
      </w:r>
      <w:r>
        <w:rPr>
          <w:rFonts w:ascii="Calibri" w:hAnsi="Calibri" w:eastAsia="Calibri" w:cs="Calibri"/>
          <w:i/>
          <w:iCs/>
          <w:color w:val="000000"/>
          <w:sz w:val="22"/>
          <w:szCs w:val="22"/>
        </w:rPr>
        <w:t xml:space="preserve">Fourth WATBRU Report,</w:t>
      </w:r>
      <w:r>
        <w:rPr>
          <w:rFonts w:ascii="Calibri" w:hAnsi="Calibri" w:eastAsia="Calibri" w:cs="Calibri"/>
          <w:color w:val="000000"/>
          <w:sz w:val="22"/>
          <w:szCs w:val="22"/>
        </w:rPr>
        <w:t xml:space="preserve"> 45–51.</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9360680519455b8bd"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9324680519455b9b2"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Cosse AA, Jones TH, Carrillo D, Cleary K, Canlas I &amp; Stouthamer R (2017) Pheromones of three ambrosia beetles 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Ratios and preferences.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e3957. </w:t>
      </w:r>
      <w:hyperlink r:id="rId8981680519455ba50" w:history="1">
        <w:r>
          <w:rPr>
            <w:rFonts w:ascii="Calibri" w:hAnsi="Calibri" w:eastAsia="Calibri" w:cs="Calibri"/>
            <w:color w:val="0000CC"/>
            <w:sz w:val="22"/>
            <w:szCs w:val="22"/>
            <w:u w:val="single"/>
          </w:rPr>
          <w:t xml:space="preserve">https://doi.org/10.7717/peerj.3957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Cooperband MF, Stouthamer R, Carrillo D, Eskalen A, Thibault T, Cossé AA, Castrillo LA, Vandenberg JD &amp; Rugman-Jones PF (2016) Biology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recently invasive in the U.S.A., reared on an ambrosia beetle artificial diet.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223–237. </w:t>
      </w:r>
      <w:hyperlink r:id="rId8023680519455bb2d" w:history="1">
        <w:r>
          <w:rPr>
            <w:rFonts w:ascii="Calibri" w:hAnsi="Calibri" w:eastAsia="Calibri" w:cs="Calibri"/>
            <w:color w:val="0000CC"/>
            <w:sz w:val="22"/>
            <w:szCs w:val="22"/>
            <w:u w:val="single"/>
          </w:rPr>
          <w:t xml:space="preserve">https://doi.org/10.1111/afe.12155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Dodge C, Coolidge J, Cooperband M, Cossé A, Carrillo D &amp; Stouthamer R (2017) Quercivorol as a lure for the polyphagous and Kuroshio shot hole borers,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spp.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vectors of Fusarium dieback.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e3656. </w:t>
      </w:r>
      <w:hyperlink r:id="rId6529680519455bbe7" w:history="1">
        <w:r>
          <w:rPr>
            <w:rFonts w:ascii="Calibri" w:hAnsi="Calibri" w:eastAsia="Calibri" w:cs="Calibri"/>
            <w:color w:val="0000CC"/>
            <w:sz w:val="22"/>
            <w:szCs w:val="22"/>
            <w:u w:val="single"/>
          </w:rPr>
          <w:t xml:space="preserve">https://doi.org/10.7717/peerj.3656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Fusarium euwallaceae</w:t>
      </w:r>
      <w:r>
        <w:rPr>
          <w:rFonts w:ascii="Calibri" w:hAnsi="Calibri" w:eastAsia="Calibri" w:cs="Calibri"/>
          <w:color w:val="000000"/>
          <w:sz w:val="22"/>
          <w:szCs w:val="22"/>
        </w:rPr>
        <w:t xml:space="preserve"> (revised version), 8 pp. Available from </w:t>
      </w:r>
      <w:hyperlink r:id="rId5879680519455bc87"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6958680519455bd40"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9652680519455bdb4"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Francke W &amp; Heemann V (1974) Lockversuche bei </w:t>
      </w:r>
      <w:r>
        <w:rPr>
          <w:rFonts w:ascii="Calibri" w:hAnsi="Calibri" w:eastAsia="Calibri" w:cs="Calibri"/>
          <w:i/>
          <w:iCs/>
          <w:color w:val="000000"/>
          <w:sz w:val="22"/>
          <w:szCs w:val="22"/>
        </w:rPr>
        <w:t xml:space="preserve">Xyloterus domesticus</w:t>
      </w:r>
      <w:r>
        <w:rPr>
          <w:rFonts w:ascii="Calibri" w:hAnsi="Calibri" w:eastAsia="Calibri" w:cs="Calibri"/>
          <w:color w:val="000000"/>
          <w:sz w:val="22"/>
          <w:szCs w:val="22"/>
        </w:rPr>
        <w:t xml:space="preserve"> L. und </w:t>
      </w:r>
      <w:r>
        <w:rPr>
          <w:rFonts w:ascii="Calibri" w:hAnsi="Calibri" w:eastAsia="Calibri" w:cs="Calibri"/>
          <w:i/>
          <w:iCs/>
          <w:color w:val="000000"/>
          <w:sz w:val="22"/>
          <w:szCs w:val="22"/>
        </w:rPr>
        <w:t xml:space="preserve">X. lineatus</w:t>
      </w:r>
      <w:r>
        <w:rPr>
          <w:rFonts w:ascii="Calibri" w:hAnsi="Calibri" w:eastAsia="Calibri" w:cs="Calibri"/>
          <w:color w:val="000000"/>
          <w:sz w:val="22"/>
          <w:szCs w:val="22"/>
        </w:rPr>
        <w:t xml:space="preserve"> Oliv. (Coleoptera: Scolytidae) mit 3-Hydroxy-3-methylbutan-2-on.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(1–4), 67–72. </w:t>
      </w:r>
      <w:hyperlink r:id="rId4310680519455be65" w:history="1">
        <w:r>
          <w:rPr>
            <w:rFonts w:ascii="Calibri" w:hAnsi="Calibri" w:eastAsia="Calibri" w:cs="Calibri"/>
            <w:color w:val="0000CC"/>
            <w:sz w:val="22"/>
            <w:szCs w:val="22"/>
            <w:u w:val="single"/>
          </w:rPr>
          <w:t xml:space="preserve">https://doi.org/10.1111/j.1439-0418.1974.tb01827.x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6439680519455bf17"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Gadd CH (1941) Observation on an attack by shot-hole borer on tea. </w:t>
      </w:r>
      <w:r>
        <w:rPr>
          <w:rFonts w:ascii="Calibri" w:hAnsi="Calibri" w:eastAsia="Calibri" w:cs="Calibri"/>
          <w:i/>
          <w:iCs/>
          <w:color w:val="000000"/>
          <w:sz w:val="22"/>
          <w:szCs w:val="22"/>
        </w:rPr>
        <w:t xml:space="preserve">Tea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132-146.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JCM (1964) Immature stages of Indian Coleoptera (15) (Scolytidae). </w:t>
      </w:r>
      <w:r>
        <w:rPr>
          <w:rFonts w:ascii="Calibri" w:hAnsi="Calibri" w:eastAsia="Calibri" w:cs="Calibri"/>
          <w:i/>
          <w:iCs/>
          <w:color w:val="000000"/>
          <w:sz w:val="22"/>
          <w:szCs w:val="22"/>
        </w:rPr>
        <w:t xml:space="preserve">Indian Forest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(8), 17.</w:t>
      </w:r>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2078680519455c067"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Rabaglia RJ, Fairbanks KEO &amp; Hulcr J (2018) North American Xyleborini north of Mexico: A review and key to genera and species (Coleoptera, Curculionidae, Scolytinae).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768</w:t>
      </w:r>
      <w:r>
        <w:rPr>
          <w:rFonts w:ascii="Calibri" w:hAnsi="Calibri" w:eastAsia="Calibri" w:cs="Calibri"/>
          <w:color w:val="000000"/>
          <w:sz w:val="22"/>
          <w:szCs w:val="22"/>
        </w:rPr>
        <w:t xml:space="preserve">, 19–68. </w:t>
      </w:r>
      <w:hyperlink r:id="rId1453680519455c0da" w:history="1">
        <w:r>
          <w:rPr>
            <w:rFonts w:ascii="Calibri" w:hAnsi="Calibri" w:eastAsia="Calibri" w:cs="Calibri"/>
            <w:color w:val="0000CC"/>
            <w:sz w:val="22"/>
            <w:szCs w:val="22"/>
            <w:u w:val="single"/>
          </w:rPr>
          <w:t xml:space="preserve">https://doi.org/10.3897/zookeys.768.24697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Skelton J, Steininger MS, Stouthamer R, Rugman-Jones P, Sittichaya W, Rabaglia RJ &amp; Hulcr J (2018) Species delineation within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complex revealed by morphometric and phylogenetic analyses. </w:t>
      </w:r>
      <w:r>
        <w:rPr>
          <w:rFonts w:ascii="Calibri" w:hAnsi="Calibri" w:eastAsia="Calibri" w:cs="Calibri"/>
          <w:i/>
          <w:iCs/>
          <w:color w:val="000000"/>
          <w:sz w:val="22"/>
          <w:szCs w:val="22"/>
        </w:rPr>
        <w:t xml:space="preserve">Insect Systematics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(6), 1–11. </w:t>
      </w:r>
      <w:hyperlink r:id="rId1310680519455c16b" w:history="1">
        <w:r>
          <w:rPr>
            <w:rFonts w:ascii="Calibri" w:hAnsi="Calibri" w:eastAsia="Calibri" w:cs="Calibri"/>
            <w:color w:val="0000CC"/>
            <w:sz w:val="22"/>
            <w:szCs w:val="22"/>
            <w:u w:val="single"/>
          </w:rPr>
          <w:t xml:space="preserve">https://doi.org/10.1093/isd/ixy018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5074680519455c21e"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5184680519455c30f"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Kendra PE, Montgomery WS, Narvaez TI &amp; Carrillo D (2019) Comparison of trap designs for detection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and other Scolytinae (Coleoptera: Curculionidae) that vector fungal pathogens of avocado trees in Florida.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(2), 980-987. </w:t>
      </w:r>
      <w:hyperlink r:id="rId4847680519455c3be" w:history="1">
        <w:r>
          <w:rPr>
            <w:rFonts w:ascii="Calibri" w:hAnsi="Calibri" w:eastAsia="Calibri" w:cs="Calibri"/>
            <w:color w:val="0000CC"/>
            <w:sz w:val="22"/>
            <w:szCs w:val="22"/>
            <w:u w:val="single"/>
          </w:rPr>
          <w:t xml:space="preserve">https://doi.org/10.1093/jee/toz311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2596680519455c46f"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6189680519455c547"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5917680519455c5be"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7030680519455d00a"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4760680519455d0fd"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8093680519455d1bd"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7207680519455d26b"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Stouthamer R, Rugman-Jones P, Thu PQ, Eskalen A, Thibault T, Hulcr J, Wang LJ, Jordal BH, Chen CY, Cooperband M, Lin CS, Kamata N, Lu SS, Masuya H, Mendel Z, Rabaglia R, Sanguansub S, Shih HH, Sittichaya W &amp; Zong S (2017) Tracing the origin of a cryptic invader: Phylogeography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366–375. </w:t>
      </w:r>
      <w:hyperlink r:id="rId4571680519455d49e" w:history="1">
        <w:r>
          <w:rPr>
            <w:rFonts w:ascii="Calibri" w:hAnsi="Calibri" w:eastAsia="Calibri" w:cs="Calibri"/>
            <w:color w:val="0000CC"/>
            <w:sz w:val="22"/>
            <w:szCs w:val="22"/>
            <w:u w:val="single"/>
          </w:rPr>
          <w:t xml:space="preserve">https://doi.org/10.1111/afe.12215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8385680519455d524"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Demian Gomez.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3914680519455d5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5294854" name="name8056680519455d7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43680519455d6f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484587">
    <w:multiLevelType w:val="hybridMultilevel"/>
    <w:lvl w:ilvl="0" w:tplc="95457526">
      <w:start w:val="1"/>
      <w:numFmt w:val="decimal"/>
      <w:lvlText w:val="%1."/>
      <w:lvlJc w:val="left"/>
      <w:pPr>
        <w:ind w:left="720" w:hanging="360"/>
      </w:pPr>
    </w:lvl>
    <w:lvl w:ilvl="1" w:tplc="95457526" w:tentative="1">
      <w:start w:val="1"/>
      <w:numFmt w:val="lowerLetter"/>
      <w:lvlText w:val="%2."/>
      <w:lvlJc w:val="left"/>
      <w:pPr>
        <w:ind w:left="1440" w:hanging="360"/>
      </w:pPr>
    </w:lvl>
    <w:lvl w:ilvl="2" w:tplc="95457526" w:tentative="1">
      <w:start w:val="1"/>
      <w:numFmt w:val="lowerRoman"/>
      <w:lvlText w:val="%3."/>
      <w:lvlJc w:val="right"/>
      <w:pPr>
        <w:ind w:left="2160" w:hanging="180"/>
      </w:pPr>
    </w:lvl>
    <w:lvl w:ilvl="3" w:tplc="95457526" w:tentative="1">
      <w:start w:val="1"/>
      <w:numFmt w:val="decimal"/>
      <w:lvlText w:val="%4."/>
      <w:lvlJc w:val="left"/>
      <w:pPr>
        <w:ind w:left="2880" w:hanging="360"/>
      </w:pPr>
    </w:lvl>
    <w:lvl w:ilvl="4" w:tplc="95457526" w:tentative="1">
      <w:start w:val="1"/>
      <w:numFmt w:val="lowerLetter"/>
      <w:lvlText w:val="%5."/>
      <w:lvlJc w:val="left"/>
      <w:pPr>
        <w:ind w:left="3600" w:hanging="360"/>
      </w:pPr>
    </w:lvl>
    <w:lvl w:ilvl="5" w:tplc="95457526" w:tentative="1">
      <w:start w:val="1"/>
      <w:numFmt w:val="lowerRoman"/>
      <w:lvlText w:val="%6."/>
      <w:lvlJc w:val="right"/>
      <w:pPr>
        <w:ind w:left="4320" w:hanging="180"/>
      </w:pPr>
    </w:lvl>
    <w:lvl w:ilvl="6" w:tplc="95457526" w:tentative="1">
      <w:start w:val="1"/>
      <w:numFmt w:val="decimal"/>
      <w:lvlText w:val="%7."/>
      <w:lvlJc w:val="left"/>
      <w:pPr>
        <w:ind w:left="5040" w:hanging="360"/>
      </w:pPr>
    </w:lvl>
    <w:lvl w:ilvl="7" w:tplc="95457526" w:tentative="1">
      <w:start w:val="1"/>
      <w:numFmt w:val="lowerLetter"/>
      <w:lvlText w:val="%8."/>
      <w:lvlJc w:val="left"/>
      <w:pPr>
        <w:ind w:left="5760" w:hanging="360"/>
      </w:pPr>
    </w:lvl>
    <w:lvl w:ilvl="8" w:tplc="95457526" w:tentative="1">
      <w:start w:val="1"/>
      <w:numFmt w:val="lowerRoman"/>
      <w:lvlText w:val="%9."/>
      <w:lvlJc w:val="right"/>
      <w:pPr>
        <w:ind w:left="6480" w:hanging="180"/>
      </w:pPr>
    </w:lvl>
  </w:abstractNum>
  <w:abstractNum w:abstractNumId="93484586">
    <w:multiLevelType w:val="hybridMultilevel"/>
    <w:lvl w:ilvl="0" w:tplc="903490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484586">
    <w:abstractNumId w:val="93484586"/>
  </w:num>
  <w:num w:numId="93484587">
    <w:abstractNumId w:val="934845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8757053" Type="http://schemas.microsoft.com/office/2011/relationships/commentsExtended" Target="commentsExtended.xml"/><Relationship Id="rId615224313" Type="http://schemas.microsoft.com/office/2011/relationships/people" Target="people.xml"/><Relationship Id="rId153468051945533e2" Type="http://schemas.openxmlformats.org/officeDocument/2006/relationships/hyperlink" Target="https://gd.eppo.int/taxon/EUWAWH/" TargetMode="External"/><Relationship Id="rId5686680519455b604" Type="http://schemas.openxmlformats.org/officeDocument/2006/relationships/hyperlink" Target="https://doi.org/10.1080/00275514.1967.12018485" TargetMode="External"/><Relationship Id="rId2269680519455b6fd" Type="http://schemas.openxmlformats.org/officeDocument/2006/relationships/hyperlink" Target="https://doi.org/10.1126/science.1273573" TargetMode="External"/><Relationship Id="rId3268680519455b79a" Type="http://schemas.openxmlformats.org/officeDocument/2006/relationships/hyperlink" Target="https://doi.org/10.1093/aesa/62.2.454" TargetMode="External"/><Relationship Id="rId9360680519455b8bd" Type="http://schemas.openxmlformats.org/officeDocument/2006/relationships/hyperlink" Target="https://doi.org/10.11646/zootaxa.5325.2.10" TargetMode="External"/><Relationship Id="rId9324680519455b9b2" Type="http://schemas.openxmlformats.org/officeDocument/2006/relationships/hyperlink" Target="https://doi.org/10.1093/ee/nvaa103" TargetMode="External"/><Relationship Id="rId8981680519455ba50" Type="http://schemas.openxmlformats.org/officeDocument/2006/relationships/hyperlink" Target="https://doi.org/10.7717/peerj.3957" TargetMode="External"/><Relationship Id="rId8023680519455bb2d" Type="http://schemas.openxmlformats.org/officeDocument/2006/relationships/hyperlink" Target="https://doi.org/10.1111/afe.12155" TargetMode="External"/><Relationship Id="rId6529680519455bbe7" Type="http://schemas.openxmlformats.org/officeDocument/2006/relationships/hyperlink" Target="https://doi.org/10.7717/peerj.3656" TargetMode="External"/><Relationship Id="rId5879680519455bc87" Type="http://schemas.openxmlformats.org/officeDocument/2006/relationships/hyperlink" Target="https://pra.eppo.int/pra/4880c445-9ca7-485a-9e3a-edde73e472fa" TargetMode="External"/><Relationship Id="rId6958680519455bd40" Type="http://schemas.openxmlformats.org/officeDocument/2006/relationships/hyperlink" Target="https://doi.org/10.1094/PDIS-03-12-0276-PDN" TargetMode="External"/><Relationship Id="rId9652680519455bdb4" Type="http://schemas.openxmlformats.org/officeDocument/2006/relationships/hyperlink" Target="https://doi.org/10.1094/PDIS-11-12-1026-RE" TargetMode="External"/><Relationship Id="rId4310680519455be65" Type="http://schemas.openxmlformats.org/officeDocument/2006/relationships/hyperlink" Target="https://doi.org/10.1111/j.1439-0418.1974.tb01827.x" TargetMode="External"/><Relationship Id="rId6439680519455bf17" Type="http://schemas.openxmlformats.org/officeDocument/2006/relationships/hyperlink" Target="https://doi.org/10.3852/13-066" TargetMode="External"/><Relationship Id="rId2078680519455c067" Type="http://schemas.openxmlformats.org/officeDocument/2006/relationships/hyperlink" Target="https://doi.org/10.1016/j.aspen.2019.01.013" TargetMode="External"/><Relationship Id="rId1453680519455c0da" Type="http://schemas.openxmlformats.org/officeDocument/2006/relationships/hyperlink" Target="https://doi.org/10.3897/zookeys.768.24697" TargetMode="External"/><Relationship Id="rId1310680519455c16b" Type="http://schemas.openxmlformats.org/officeDocument/2006/relationships/hyperlink" Target="https://doi.org/10.1093/isd/ixy018" TargetMode="External"/><Relationship Id="rId5074680519455c21e" Type="http://schemas.openxmlformats.org/officeDocument/2006/relationships/hyperlink" Target="https://doi.org/10.1093/jee/toy423" TargetMode="External"/><Relationship Id="rId5184680519455c30f" Type="http://schemas.openxmlformats.org/officeDocument/2006/relationships/hyperlink" Target="https://doi.org/10.1093/jee/tov169" TargetMode="External"/><Relationship Id="rId4847680519455c3be" Type="http://schemas.openxmlformats.org/officeDocument/2006/relationships/hyperlink" Target="https://doi.org/10.1093/jee/toz311" TargetMode="External"/><Relationship Id="rId2596680519455c46f" Type="http://schemas.openxmlformats.org/officeDocument/2006/relationships/hyperlink" Target="https://doi.org/10.1007/s12600-012-0223-7" TargetMode="External"/><Relationship Id="rId6189680519455c547" Type="http://schemas.openxmlformats.org/officeDocument/2006/relationships/hyperlink" Target="https://doi.org/10.1007/s13313-018-0545-0" TargetMode="External"/><Relationship Id="rId5917680519455c5be" Type="http://schemas.openxmlformats.org/officeDocument/2006/relationships/hyperlink" Target="https://doi.org/10.17159/sajs.2020/8757" TargetMode="External"/><Relationship Id="rId7030680519455d00a" Type="http://schemas.openxmlformats.org/officeDocument/2006/relationships/hyperlink" Target="https://doi.org/10.7717/peerj.9987" TargetMode="External"/><Relationship Id="rId4760680519455d0fd" Type="http://schemas.openxmlformats.org/officeDocument/2006/relationships/hyperlink" Target="https://doi.org/10.1007/s10530-022-02929-w" TargetMode="External"/><Relationship Id="rId8093680519455d1bd" Type="http://schemas.openxmlformats.org/officeDocument/2006/relationships/hyperlink" Target="https://doi.org/10.3390/insects10090261" TargetMode="External"/><Relationship Id="rId7207680519455d26b" Type="http://schemas.openxmlformats.org/officeDocument/2006/relationships/hyperlink" Target="https://doi.org/10.1016/B978-0-12-417156-5.00012-5" TargetMode="External"/><Relationship Id="rId4571680519455d49e" Type="http://schemas.openxmlformats.org/officeDocument/2006/relationships/hyperlink" Target="https://doi.org/10.1111/afe.12215" TargetMode="External"/><Relationship Id="rId8385680519455d524" Type="http://schemas.openxmlformats.org/officeDocument/2006/relationships/hyperlink" Target="https://www.cabidigitallibrary.org/doi/10.1079/cabicompendium.18360453" TargetMode="External"/><Relationship Id="rId3914680519455d5fc" Type="http://schemas.openxmlformats.org/officeDocument/2006/relationships/hyperlink" Target="https://gd.eppo.int" TargetMode="External"/><Relationship Id="rId2551680519455a341" Type="http://schemas.openxmlformats.org/officeDocument/2006/relationships/image" Target="media/imgrId2551680519455a341.jpg"/><Relationship Id="rId6843680519455d6ff" Type="http://schemas.openxmlformats.org/officeDocument/2006/relationships/image" Target="media/imgrId6843680519455d6f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