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euwallaceae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euwallaceae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 Freeman, Z. Mendel, T. Aoki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Neocosmospora euwallaceae</w:t>
            </w:r>
            <w:r>
              <w:rPr>
                <w:rFonts w:ascii="Calibri" w:hAnsi="Calibri" w:eastAsia="Calibri" w:cs="Calibri"/>
                <w:color w:val="000000"/>
                <w:position w:val="-3"/>
                <w:sz w:val="22"/>
                <w:szCs w:val="22"/>
              </w:rPr>
              <w:t xml:space="preserve"> (S. Freeman, Z. Mendel, T. Aoki &amp; O’Donnell) Sandoval-Denis, L. Lombard &amp; Crous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dieback, Fusarium wilt</w:t>
            </w:r>
            <w:hyperlink r:id="rId5647669ee2b8b27d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06669ee2b8b28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FUSAEW</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within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is characterized as a fungal symbiont, vectored by the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Eichhoff (polyphagous shot hole borer), inciting Fusarium dieback on many host plants. Molecular phylogenetic analyses of multilocus DNA sequence data (Kasson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 that the symbiont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constitutes a novel subclade within Clade 3 of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Furthermore,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was resolved as an independent evolutionary lineage that exhibits a distinct ecology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There is a dispute regarding the nomenclature of the 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whereby certain reports have preferred the designation </w:t>
      </w:r>
      <w:r>
        <w:rPr>
          <w:rFonts w:ascii="Calibri" w:hAnsi="Calibri" w:eastAsia="Calibri" w:cs="Calibri"/>
          <w:i/>
          <w:iCs/>
          <w:color w:val="000000"/>
          <w:sz w:val="22"/>
          <w:szCs w:val="22"/>
        </w:rPr>
        <w:t xml:space="preserve">Neocosmospora</w:t>
      </w:r>
      <w:r>
        <w:rPr>
          <w:rFonts w:ascii="Calibri" w:hAnsi="Calibri" w:eastAsia="Calibri" w:cs="Calibri"/>
          <w:color w:val="000000"/>
          <w:sz w:val="22"/>
          <w:szCs w:val="22"/>
        </w:rPr>
        <w:t xml:space="preserve"> (Crous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based on monophyletic vs polyphyletic conclusions. In this report we have maintained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option since the dispute has not yet been settled.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completely dependent on the botanical host range of its vector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which is very broad. The host range reported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includes 412 botanical species in 75 families; 109 are reported as breeding hosts, 95 are commercial timber tree species and 43 are fruit trees/shrubs. Initially, the avocado industry was the major concern, however, later it was found that the beetle/fungus complex causes serious damage on native and exotic trees in urban landscapes as well as in native forests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Boland, 2016;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beetle’s reproductive success rate, as well as the long list of botanical species belonging to the 'non-reproductive host' category, is the outcome of interactions between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and sapwood of the attacked tree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Thus, the host tree selected by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may be grouped into: (i) those that do not allow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to develop, (ii) those that reduce fungal development, and (iii) those that permit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proliferation. In summary, the host range suitable for beetle reproduction is determined by development of </w:t>
      </w:r>
      <w:r>
        <w:rPr>
          <w:rFonts w:ascii="Calibri" w:hAnsi="Calibri" w:eastAsia="Calibri" w:cs="Calibri"/>
          <w:i/>
          <w:iCs/>
          <w:color w:val="000000"/>
          <w:sz w:val="22"/>
          <w:szCs w:val="22"/>
        </w:rPr>
        <w:t xml:space="preserve">F. euwallacea</w:t>
      </w:r>
      <w:r>
        <w:rPr>
          <w:rFonts w:ascii="Calibri" w:hAnsi="Calibri" w:eastAsia="Calibri" w:cs="Calibri"/>
          <w:color w:val="000000"/>
          <w:sz w:val="22"/>
          <w:szCs w:val="22"/>
        </w:rPr>
        <w:t xml:space="preserve">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x blakeana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 var. liebmannii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mentioned within the host range section, geographical distribution of the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strictly dictated by the beetle vector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Thus, the beetle/fungal symbiont species complex is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reported to have originated from countries within the Far East: China, Japan, Malaysia, Sri Lanka, Taiwan, Thailand, and Vietnam, as well as Samoa (Oceania) and has been introduced into Argentina, Israel, South Africa, and the United States (California and Hawaii)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Europe, outbreaks of the fungus/beetle complex have been reported from protected greenhouse habitats in Poland (Poznan-2019), Italy (Merano-2020), the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Removal of the host plants resulted in eradication of the beetle and its fungal symbiont (EPPO, 2024).</w:t>
      </w:r>
    </w:p>
    <w:p>
      <w:r>
        <w:drawing>
          <wp:inline distT="0" distB="0" distL="0" distR="0">
            <wp:extent cx="6120000" cy="3067200"/>
            <wp:docPr id="10889719" name="name1166669ee2b8b5164" descr="FUSAEW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EW_distribution_map.jpg"/>
                    <pic:cNvPicPr/>
                  </pic:nvPicPr>
                  <pic:blipFill>
                    <a:blip r:embed="rId2193669ee2b8b51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an obligate symbiont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serves as a nutritional source for the ambrosia beetle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euwallaceae</w:t>
      </w:r>
      <w:r>
        <w:rPr>
          <w:rFonts w:ascii="Calibri" w:hAnsi="Calibri" w:eastAsia="Calibri" w:cs="Calibri"/>
          <w:color w:val="000000"/>
          <w:sz w:val="22"/>
          <w:szCs w:val="22"/>
        </w:rPr>
        <w:t xml:space="preserve"> is considered nonpathogenic to host plants in its native environment, where most ambrosia beetle species attack only weakened or dying plants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a few ambrosia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Two more recently described symbiotic fungi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Paracremonium pembeum</w:t>
      </w:r>
      <w:r>
        <w:rPr>
          <w:rFonts w:ascii="Calibri" w:hAnsi="Calibri" w:eastAsia="Calibri" w:cs="Calibri"/>
          <w:color w:val="000000"/>
          <w:sz w:val="22"/>
          <w:szCs w:val="22"/>
        </w:rPr>
        <w:t xml:space="preserve">), in addition to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are carried by the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beetle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the adult female beetle carries predominantly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within the mycangia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appears that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required for establishment in a new host, and this fungus allows the beetle to complete its life cycle. Thus,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involved in two major requirements of the vector: (i) overcoming the xylem tissue resistance for establishment of the beetles in galleries, and (ii) serving as a food source during the first phase of colonizing females, and likely throughout its adult life cycle. It has been suggested that the first food source for early larvae is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while adult parent beetles consume predominantly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The role of </w:t>
      </w:r>
      <w:r>
        <w:rPr>
          <w:rFonts w:ascii="Calibri" w:hAnsi="Calibri" w:eastAsia="Calibri" w:cs="Calibri"/>
          <w:i/>
          <w:iCs/>
          <w:color w:val="000000"/>
          <w:sz w:val="22"/>
          <w:szCs w:val="22"/>
        </w:rPr>
        <w:t xml:space="preserve">Paracremonium pemberum</w:t>
      </w:r>
      <w:r>
        <w:rPr>
          <w:rFonts w:ascii="Calibri" w:hAnsi="Calibri" w:eastAsia="Calibri" w:cs="Calibri"/>
          <w:color w:val="000000"/>
          <w:sz w:val="22"/>
          <w:szCs w:val="22"/>
        </w:rPr>
        <w:t xml:space="preserve"> has not yet been determined, although it may be postulated to serve as an antagonist of contaminant fungi, including the previous two symbionts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female ambrosia beetles bore and tunnel into the trunk, stems and branches of healthy trees and cause damage through mass accumulation. Thereafter, the symbiont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released from beetle mycangia colonizes the base of secondary branches, resulting in localized branch dieback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produces localized necrosis inciting a significant amount of damage when inoculated by a large number of beetles within the host tree galleries (Smith and Hulcr, 2015). Pathogenicity is manifested by invasion of the tree vascular system, causing cambial necrosis, sugar or gum exudation, branch dieback, and mortality of a wide spectrum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avocado,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did not spread far from the beetle galleries and remained viable in live xylem for up to 25 months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Recovery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from heavily infested branches can be identified according to stained gallery tissues as was determined in naturally fungus-infected avocado.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forms ellipsoidal, blue to brownish-pigmented clavate, multiseptated macroconidia, a useful phenotypic character for distinguishing this species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Aerial conidia are mostly ellipsoidal, fusiform-ellipsoidal to short clavate, e.g. three-septate measuring on average 22.5–39 × 6.5–11 µm. Chlamydospores are formed abundantly in hyphae and in conidia, mostly subglobose to round ellipsoidal, intercalary or terminal, single, or often in chains, ordinary hyaline to pale-yellow, later becoming bluish to brownish when strongly pigmented, smooth to often rough-walled, measuring on average 6–12 × 6–10 µm; sclerotia are absent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Colonies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on PDA show radial mycelial growth rates of 4.5 to 4.8 mm/day at 25°C.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tree hosts, such as box elder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and/or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should be surveyed periodically for tree mortality and/or branch dieback with signs of beetle attack at junctions of small and mid-size shaded branches, showing the presence of frass at exit holes accompanied by exudates described following infection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these infection sites, plant material can be plated on PDA and/or SNA media for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identification according to morphology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by molecular identification according to species-specific PCR amplification protocols of DNA extracted from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(de Jager and Roets, 2022; Short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vectored actively by the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ambrosia beetle which is the major means of dispersal of the pathogen. Therefore, over short distances, flight of female beetles carrying the fungus within their mycangia is one of the main means of movement to previously uninfected areas where susceptible host plant species prevail (EPPO, 2024). In addition, the movement and shipping of beetle and fungus-infected timber and wood packaging material, are also ways of spreading the fungal-vector complex, mainly at ports of entry to countries where the products are delivered. Movement of infested host plants for planting can also transport all stages of the fungal-vector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various countries and areas worldwide, including Argentina, California (USA), Israel and South Africa. In various host plants, the beetle bores and tunnels into trunks, stems and branches of healthy trees and causes damage through mass infestations. Female beetles usually colonize the base of secondary branches, release spores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resulting in localized branch dieback. Besides detrimentally affecting the health of host trees, beetle-pathogen colonization and establishment and weakened trees can also fall and cause damage and injury (EPPO, 2024).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the fungus-beetle complex causes serious damage to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Israel, the complex has severely affected avocado crop cultivation and yields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Argentina, the maple industry has been compromised, whereby branch dieback and complete tree mortality have been reported within a short period of time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Southern California in both urban and native stands, a wide range of ornamental and agriculturally important hardwood host species are threatened, and infestations are causing serious ecological and environmental damage (Chen et al.,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to management procedures for the beetle that vectors the pathogen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early detection, sanitation measures and preventive insecticide sprays should be implemented. Infested branches should be removed and destroyed (chipped, burned, buried or solarized by covering under a tarp under direct sun (Jones and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/beetle complex affecting sycamore trees in California has been reported using pesticide injection techniques. It was shown that the systemic fungicide propiconazole, alone or combined with the systemic insecticide emamectin benzoate, can significantly reduce the fungal infection after infestation by the beetle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Thus, emamectin benzoate alone or combined with propiconazole can significantly act as therapeutic and preventative treatments for management of the fungal/beetle complex in sycamore trees in southern California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broad spectrum of host plants has been recorded for the species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vectoring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For example, among 583 examined tree species, 13.8% were considered reproductive hosts, allowing the symbiotic fungus to survive and colonize plants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Therefore, any of this woody material of a suitable size and moisture content may be infested and thus, pose a direct risk of the beetle/fungal population establishing itself in areas outside the natural habitat of the complex (EPPO, 2024). In the EPPO region, and elsewhere, certain fruit crops such as avocado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other ornamental trees can be a source of spread of the complex if not strictly monitored before being exported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Global movement of commodities has increased significantly over the years, thus the transport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complex in timber and wood packaging material, such as pallets, crates and dunnage should be monitored, and/or treated to eliminate beetle/pathogen introduction (EPPO, 2024). Spread and establishment of potential beetle infestations and fungal infections via plants for planting may also take place, therefore, such plant material should originate from pest-free areas or pest-free production sites where plants are cultivated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Boland J (2016) The impact of an invasive ambrosia beetle on the riparian habitats of the Tijuana River Valley, California. </w:t>
      </w:r>
      <w:r>
        <w:rPr>
          <w:rFonts w:ascii="Calibri" w:hAnsi="Calibri" w:eastAsia="Calibri" w:cs="Calibri"/>
          <w:i/>
          <w:iCs/>
          <w:color w:val="000000"/>
          <w:sz w:val="22"/>
          <w:szCs w:val="22"/>
        </w:rPr>
        <w:t xml:space="preserve">PeerJ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e2141. </w:t>
      </w:r>
      <w:hyperlink r:id="rId4882669ee2b8b6064" w:history="1">
        <w:r>
          <w:rPr>
            <w:rFonts w:ascii="Calibri" w:hAnsi="Calibri" w:eastAsia="Calibri" w:cs="Calibri"/>
            <w:color w:val="0000CC"/>
            <w:sz w:val="22"/>
            <w:szCs w:val="22"/>
            <w:u w:val="single"/>
          </w:rPr>
          <w:t xml:space="preserve">https://doi.org/10.7717/peerj.2141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5442669ee2b8b6101"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9066669ee2b8b61b4"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Crous PW, Lombard L, Sandoval-Denis M, Seifert KA, Schroers HJ, Chaverri P, Gené J, Guarro J, Hirooka Y, Bensch K, Kema GHJ, Lamprecht SC, Cai L, Rossman AY, Stadler M, Summerbell RC, Taylor JW, Ploch S, Visagie CM, Yilmaz N, Frisvad JC, Abdel-Azeem AM, Abdollahzadeh J, Abdolrasouli A, Akulov A, Alberts JF, Araújo JPM, Ariyawansa HA, Bakhshi M, Bendiksby M, Ben Hadj Amor A, Bezerra JDP, Boekhout T, Câmara MPS, Carbia M, Cardinali G, Castañeda-Ruiz RF, Celis A, Chaturvedi V, Collemare J, Croll D, Damm U, Decock CA, de Vries RP, Ezekiel CN, Fan XL, Fernández NB, Gaya E, González CD, Gramaje D, Groenewald JZ, Grube M, Guevara-Suarez M, Gupta VK, Guarnaccia V, Haddaji A, Hagen F, Haelewaters D, Hansen K, Hashimoto A, Hernández-Restrepo M, Houbraken J, Hubka V, Hyde KD, Iturriaga T, Jeewon R, Johnston PR, Jurjević Ž, Karalti I, Korsten L, Kuramae EE, Kušan I, Labuda R, Lawrence DP, Lee HB, Lechat C, Li HY, Litovka YA, Maharachchikumbura SSN, Marin-Felix Y, Matio Kemkuignou B, Matočec N, McTaggart AR, Mlčoch P, Mugnai L, Nakashima C, Nilsson RH, Noumeur SR, Pavlov IN, Peralta MP, Phillips AJL, Pitt JI, Polizzi G, Quaedvlieg W, Rajeshkumar KC, Restrepo S, Rhaiem A, Robert J, Robert V, Rodrigues AM, Salgado-Salazar C, Samson RA, Santos ACS, Shivas RG, Souza-Motta CM, Sun GY, Swart WJ, Szoke S, Tan YP, Taylor JE, Taylor PWJ, Tiago PV, Váczy KZ, van de Wiele N, van der Merwe NA, Verkley GJM, Vieira WAS, Vizzini A, Weir BS, Wijayawardene NN, Xia JW, Yáñez-Morales MJ, Yurkov A, Zamora JC, Zare R, Zhang CL, &amp; Thines M (2021)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More than a node or a foot-shaped basal cell.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е100116. </w:t>
      </w:r>
      <w:hyperlink r:id="rId9696669ee2b8b6261" w:history="1">
        <w:r>
          <w:rPr>
            <w:rFonts w:ascii="Calibri" w:hAnsi="Calibri" w:eastAsia="Calibri" w:cs="Calibri"/>
            <w:color w:val="0000CC"/>
            <w:sz w:val="22"/>
            <w:szCs w:val="22"/>
            <w:u w:val="single"/>
          </w:rPr>
          <w:t xml:space="preserve">https://doi.org/10.1016/j.simyco.2021.100116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Jager MM &amp; Roets F (2022) Rapid and cost-effective detection of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from woody tissues.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1712-1720. </w:t>
      </w:r>
      <w:hyperlink r:id="rId6010669ee2b8b62f1" w:history="1">
        <w:r>
          <w:rPr>
            <w:rFonts w:ascii="Calibri" w:hAnsi="Calibri" w:eastAsia="Calibri" w:cs="Calibri"/>
            <w:color w:val="0000CC"/>
            <w:sz w:val="22"/>
            <w:szCs w:val="22"/>
            <w:u w:val="single"/>
          </w:rPr>
          <w:t xml:space="preserve">https://doi.org/10.1111/ppa.13600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(revised version), 8 pp. </w:t>
      </w:r>
      <w:hyperlink r:id="rId1852669ee2b8b636b"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6884669ee2b8b63be" w:history="1">
        <w:r>
          <w:rPr>
            <w:rFonts w:ascii="Calibri" w:hAnsi="Calibri" w:eastAsia="Calibri" w:cs="Calibri"/>
            <w:color w:val="0000CC"/>
            <w:sz w:val="22"/>
            <w:szCs w:val="22"/>
            <w:u w:val="single"/>
          </w:rPr>
          <w:t xml:space="preserve">https://gd.eppo.int/taxon/EUWAWH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2031669ee2b8b646e"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3840669ee2b8b64df"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Miller G, Protasov A, Maymon M, Elazar M, David-Schwartz R, Zhou J &amp; Mendel Z (2019) Aposymbiotic interactions of three ambrosia beetle fungi with avocado trees.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,117-130.</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Dori-Bachash M, Maymon M, Belausov E, Maoz Y, Margalit O, Protasov A &amp; Mendel Z (2016) Symbiotic association of three fungal species throughout the life cycle of the ambrosia beetle </w:t>
      </w:r>
      <w:r>
        <w:rPr>
          <w:rFonts w:ascii="Calibri" w:hAnsi="Calibri" w:eastAsia="Calibri" w:cs="Calibri"/>
          <w:i/>
          <w:iCs/>
          <w:color w:val="000000"/>
          <w:sz w:val="22"/>
          <w:szCs w:val="22"/>
        </w:rPr>
        <w:t xml:space="preserve">Euwallacea </w:t>
      </w:r>
      <w:r>
        <w:rPr>
          <w:rFonts w:ascii="Calibri" w:hAnsi="Calibri" w:eastAsia="Calibri" w:cs="Calibri"/>
          <w:color w:val="000000"/>
          <w:sz w:val="22"/>
          <w:szCs w:val="22"/>
        </w:rPr>
        <w:t xml:space="preserve">nr.</w:t>
      </w:r>
      <w:r>
        <w:rPr>
          <w:rFonts w:ascii="Calibri" w:hAnsi="Calibri" w:eastAsia="Calibri" w:cs="Calibri"/>
          <w:i/>
          <w:iCs/>
          <w:color w:val="000000"/>
          <w:sz w:val="22"/>
          <w:szCs w:val="22"/>
        </w:rPr>
        <w:t xml:space="preserv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Symbiosis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115-128.</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2671669ee2b8b66a8"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7690669ee2b8b6743"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2695669ee2b8b67f2"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5628669ee2b8b68df"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Kasson MT, O’Donnell K, Rooney AP, Sink S, Ploetz R, Ploetz JN, Konkol JN, Carillo D, Freeman S, Mendel Z, Smith JE, Black A, Hulcr J, Bateman C, Black AW, Campbell PR, Geering AD, Dann EK, Eskalen A, Mohotti K, Short DP, Aoki T, Fenstermacher KA, Davis DD &amp; Geiser DM (2013) An inordinate fondness for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phylogenetic diversity of fusaria cultivated by ambrosia beetles in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on avocado and other plant hosts.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Lynch S, Twizeyimana M, Wang D, Mayorquin J, Na F, Kayim M, Kasson MT, Thu PQ, Bateman C, Rugman-Jones P, Hulcr J, Stouthamer R &amp; Eskalen A (2016) Identification, pathogenicity, and abundance of </w:t>
      </w:r>
      <w:r>
        <w:rPr>
          <w:rFonts w:ascii="Calibri" w:hAnsi="Calibri" w:eastAsia="Calibri" w:cs="Calibri"/>
          <w:i/>
          <w:iCs/>
          <w:color w:val="000000"/>
          <w:sz w:val="22"/>
          <w:szCs w:val="22"/>
        </w:rPr>
        <w:t xml:space="preserve">Paracremonium pembeum</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sp. nov. - two new mycangial fungal associates of the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in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313-329</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hyperlink r:id="rId6744669ee2b8b6a64" w:history="1">
        <w:r>
          <w:rPr>
            <w:rFonts w:ascii="Calibri" w:hAnsi="Calibri" w:eastAsia="Calibri" w:cs="Calibri"/>
            <w:color w:val="0000CC"/>
            <w:sz w:val="22"/>
            <w:szCs w:val="22"/>
            <w:u w:val="single"/>
          </w:rPr>
          <w:t xml:space="preserve">https://doi.org/10.3852/15-063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Lynch SC, Eskalen A, Protasov A, Maymon M &amp; Freeman S (2021) What determines host range and reproductive performance of an invasive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lessons from Israel and California. </w:t>
      </w:r>
      <w:r>
        <w:rPr>
          <w:rFonts w:ascii="Calibri" w:hAnsi="Calibri" w:eastAsia="Calibri" w:cs="Calibri"/>
          <w:i/>
          <w:iCs/>
          <w:color w:val="000000"/>
          <w:sz w:val="22"/>
          <w:szCs w:val="22"/>
        </w:rPr>
        <w:t xml:space="preserve">Frontiers in Forests and Global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654702. </w:t>
      </w:r>
      <w:hyperlink r:id="rId3751669ee2b8b6af4" w:history="1">
        <w:r>
          <w:rPr>
            <w:rFonts w:ascii="Calibri" w:hAnsi="Calibri" w:eastAsia="Calibri" w:cs="Calibri"/>
            <w:color w:val="0000CC"/>
            <w:sz w:val="22"/>
            <w:szCs w:val="22"/>
            <w:u w:val="single"/>
          </w:rPr>
          <w:t xml:space="preserve">https://doi.org/10.3389/ffgc.2021.654702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Maoz Y, Maymon M, Miller G, Elazar M &amp; Freeman S (2017) The role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in the wilt syndrome of avocado trees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341–359. </w:t>
      </w:r>
      <w:hyperlink r:id="rId9548669ee2b8b6bc7" w:history="1">
        <w:r>
          <w:rPr>
            <w:rFonts w:ascii="Calibri" w:hAnsi="Calibri" w:eastAsia="Calibri" w:cs="Calibri"/>
            <w:color w:val="0000CC"/>
            <w:sz w:val="22"/>
            <w:szCs w:val="22"/>
            <w:u w:val="single"/>
          </w:rPr>
          <w:t xml:space="preserve">https://doi.org/10.1007/s12600-017-0598-6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8253669ee2b8b6c9b"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Al-Hatmi AMS, Aoki T, Brankovics B, Cano-Lira JF, Coleman JJ, de Hoog GS, Di Pietro A, Frandsen RJN, Geiser DM, Gibas CFC, Guarro J, Kim HS, Kistler HC, Laraba I, Leslie JF, López-Berges MS, Lysøe E, Meis JF, Monod M, Proctor RH, Rep M, Ruiz-Roldán C, Šišić A, Stajich JE, Steenkamp ET, Summerell BA, van der Lee TAJ, van Diepeningen AD, Verweij PE, Waalwijk C, Ward TJ, Wickes BL, Wiederhold NP, Wingfield MJ, Zhang N, &amp; Zhang SX (2020) No to </w:t>
      </w:r>
      <w:r>
        <w:rPr>
          <w:rFonts w:ascii="Calibri" w:hAnsi="Calibri" w:eastAsia="Calibri" w:cs="Calibri"/>
          <w:i/>
          <w:iCs/>
          <w:color w:val="000000"/>
          <w:sz w:val="22"/>
          <w:szCs w:val="22"/>
        </w:rPr>
        <w:t xml:space="preserve">Neocosmospora</w:t>
      </w:r>
      <w:r>
        <w:rPr>
          <w:rFonts w:ascii="Calibri" w:hAnsi="Calibri" w:eastAsia="Calibri" w:cs="Calibri"/>
          <w:color w:val="000000"/>
          <w:sz w:val="22"/>
          <w:szCs w:val="22"/>
        </w:rPr>
        <w:t xml:space="preserve">: phylogenomic and practical reasons for continued inclusion of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in the 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mSphere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e00810-20. </w:t>
      </w:r>
      <w:hyperlink r:id="rId8050669ee2b8b6d66" w:history="1">
        <w:r>
          <w:rPr>
            <w:rFonts w:ascii="Calibri" w:hAnsi="Calibri" w:eastAsia="Calibri" w:cs="Calibri"/>
            <w:color w:val="0000CC"/>
            <w:sz w:val="22"/>
            <w:szCs w:val="22"/>
            <w:u w:val="single"/>
          </w:rPr>
          <w:t xml:space="preserve">https://doi.org/10.1128/mSphere.00810-20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Sink S, Libeskind-Hadas R, Hulcr J, Kasson M &amp; Ploetz R (2015) Discordant phylogenies suggest repeated host shifts in the </w:t>
      </w:r>
      <w:r>
        <w:rPr>
          <w:rFonts w:ascii="Calibri" w:hAnsi="Calibri" w:eastAsia="Calibri" w:cs="Calibri"/>
          <w:i/>
          <w:iCs/>
          <w:color w:val="000000"/>
          <w:sz w:val="22"/>
          <w:szCs w:val="22"/>
        </w:rPr>
        <w:t xml:space="preserve">Fusarium euwallacea</w:t>
      </w:r>
      <w:r>
        <w:rPr>
          <w:rFonts w:ascii="Calibri" w:hAnsi="Calibri" w:eastAsia="Calibri" w:cs="Calibri"/>
          <w:color w:val="000000"/>
          <w:sz w:val="22"/>
          <w:szCs w:val="22"/>
        </w:rPr>
        <w:t xml:space="preserve"> ambrosia beetle mutualism.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277–290. </w:t>
      </w:r>
      <w:hyperlink r:id="rId8082669ee2b8b6dfa" w:history="1">
        <w:r>
          <w:rPr>
            <w:rFonts w:ascii="Calibri" w:hAnsi="Calibri" w:eastAsia="Calibri" w:cs="Calibri"/>
            <w:color w:val="0000CC"/>
            <w:sz w:val="22"/>
            <w:szCs w:val="22"/>
            <w:u w:val="single"/>
          </w:rPr>
          <w:t xml:space="preserve">https://doi: 10.1016/j.fgb.2014.10.014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Sutton DA, Fothergill A, McCarthy D, Rinaldi MG, Brandt ME, Zhang N &amp; Geiser DM (2008) Molecular phylogenetic diversity, multilocus haplotype nomenclature, and in vitro antifungal resistance within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Journal of Clinical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2477-2490.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Whitaker BK, Laraba I, Proctor RH, Brown DW, Broders K, Kim H-S, McCormick SP, Busman M, Aoki T, Torres-Cruz TJ, &amp; Geiser DM (2022) DNA sequence-based identification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A work in progress.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(6), 1597-1609. </w:t>
      </w:r>
      <w:hyperlink r:id="rId3555669ee2b8b6f1a" w:history="1">
        <w:r>
          <w:rPr>
            <w:rFonts w:ascii="Calibri" w:hAnsi="Calibri" w:eastAsia="Calibri" w:cs="Calibri"/>
            <w:color w:val="0000CC"/>
            <w:sz w:val="22"/>
            <w:szCs w:val="22"/>
            <w:u w:val="single"/>
          </w:rPr>
          <w:t xml:space="preserve">https://doi.org/10.1094/PDIS-09-21-2035-SR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2904669ee2b8b6faf"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4153669ee2b8b7020"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4889669ee2b8b70b1"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5098669ee2b8b715d"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Short DP, O'Donnell K, Stajich JE, Hulcr J, Kijimoto T, Berger MC, Macias AM, Spahr EJ, Bateman CC, Eskalen A, Lynch SC, Cognato AI, Cooperband MF &amp; Kasson MT (2017) PCR multiplexes discriminate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symbionts of invasive </w:t>
      </w:r>
      <w:r>
        <w:rPr>
          <w:rFonts w:ascii="Calibri" w:hAnsi="Calibri" w:eastAsia="Calibri" w:cs="Calibri"/>
          <w:i/>
          <w:iCs/>
          <w:color w:val="000000"/>
          <w:sz w:val="22"/>
          <w:szCs w:val="22"/>
        </w:rPr>
        <w:t xml:space="preserve">Euwallacea </w:t>
      </w:r>
      <w:r>
        <w:rPr>
          <w:rFonts w:ascii="Calibri" w:hAnsi="Calibri" w:eastAsia="Calibri" w:cs="Calibri"/>
          <w:color w:val="000000"/>
          <w:sz w:val="22"/>
          <w:szCs w:val="22"/>
        </w:rPr>
        <w:t xml:space="preserve">ambrosia beetles that inflict damage on numerous tree species throughout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233–240. </w:t>
      </w:r>
      <w:hyperlink r:id="rId5753669ee2b8b720d" w:history="1">
        <w:r>
          <w:rPr>
            <w:rFonts w:ascii="Calibri" w:hAnsi="Calibri" w:eastAsia="Calibri" w:cs="Calibri"/>
            <w:color w:val="0000CC"/>
            <w:sz w:val="22"/>
            <w:szCs w:val="22"/>
            <w:u w:val="single"/>
          </w:rPr>
          <w:t xml:space="preserve">https://doi.org/10.1094/PDIS-07-16-1046-RE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5983669ee2b8b72c8"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9834669ee2b8b7348"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1785669ee2b8b73be"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Stanley Freeman, ARO, The Volcani Institute, Rison LeZion,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EPPO datasheets on pests recommended for regulation. Available online. </w:t>
      </w:r>
      <w:hyperlink r:id="rId9275669ee2b8b74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445995" name="name3761669ee2b8b757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42669ee2b8b757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22962">
    <w:multiLevelType w:val="hybridMultilevel"/>
    <w:lvl w:ilvl="0" w:tplc="26877862">
      <w:start w:val="1"/>
      <w:numFmt w:val="decimal"/>
      <w:lvlText w:val="%1."/>
      <w:lvlJc w:val="left"/>
      <w:pPr>
        <w:ind w:left="720" w:hanging="360"/>
      </w:pPr>
    </w:lvl>
    <w:lvl w:ilvl="1" w:tplc="26877862" w:tentative="1">
      <w:start w:val="1"/>
      <w:numFmt w:val="lowerLetter"/>
      <w:lvlText w:val="%2."/>
      <w:lvlJc w:val="left"/>
      <w:pPr>
        <w:ind w:left="1440" w:hanging="360"/>
      </w:pPr>
    </w:lvl>
    <w:lvl w:ilvl="2" w:tplc="26877862" w:tentative="1">
      <w:start w:val="1"/>
      <w:numFmt w:val="lowerRoman"/>
      <w:lvlText w:val="%3."/>
      <w:lvlJc w:val="right"/>
      <w:pPr>
        <w:ind w:left="2160" w:hanging="180"/>
      </w:pPr>
    </w:lvl>
    <w:lvl w:ilvl="3" w:tplc="26877862" w:tentative="1">
      <w:start w:val="1"/>
      <w:numFmt w:val="decimal"/>
      <w:lvlText w:val="%4."/>
      <w:lvlJc w:val="left"/>
      <w:pPr>
        <w:ind w:left="2880" w:hanging="360"/>
      </w:pPr>
    </w:lvl>
    <w:lvl w:ilvl="4" w:tplc="26877862" w:tentative="1">
      <w:start w:val="1"/>
      <w:numFmt w:val="lowerLetter"/>
      <w:lvlText w:val="%5."/>
      <w:lvlJc w:val="left"/>
      <w:pPr>
        <w:ind w:left="3600" w:hanging="360"/>
      </w:pPr>
    </w:lvl>
    <w:lvl w:ilvl="5" w:tplc="26877862" w:tentative="1">
      <w:start w:val="1"/>
      <w:numFmt w:val="lowerRoman"/>
      <w:lvlText w:val="%6."/>
      <w:lvlJc w:val="right"/>
      <w:pPr>
        <w:ind w:left="4320" w:hanging="180"/>
      </w:pPr>
    </w:lvl>
    <w:lvl w:ilvl="6" w:tplc="26877862" w:tentative="1">
      <w:start w:val="1"/>
      <w:numFmt w:val="decimal"/>
      <w:lvlText w:val="%7."/>
      <w:lvlJc w:val="left"/>
      <w:pPr>
        <w:ind w:left="5040" w:hanging="360"/>
      </w:pPr>
    </w:lvl>
    <w:lvl w:ilvl="7" w:tplc="26877862" w:tentative="1">
      <w:start w:val="1"/>
      <w:numFmt w:val="lowerLetter"/>
      <w:lvlText w:val="%8."/>
      <w:lvlJc w:val="left"/>
      <w:pPr>
        <w:ind w:left="5760" w:hanging="360"/>
      </w:pPr>
    </w:lvl>
    <w:lvl w:ilvl="8" w:tplc="26877862" w:tentative="1">
      <w:start w:val="1"/>
      <w:numFmt w:val="lowerRoman"/>
      <w:lvlText w:val="%9."/>
      <w:lvlJc w:val="right"/>
      <w:pPr>
        <w:ind w:left="6480" w:hanging="180"/>
      </w:pPr>
    </w:lvl>
  </w:abstractNum>
  <w:abstractNum w:abstractNumId="19322961">
    <w:multiLevelType w:val="hybridMultilevel"/>
    <w:lvl w:ilvl="0" w:tplc="96841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22961">
    <w:abstractNumId w:val="19322961"/>
  </w:num>
  <w:num w:numId="19322962">
    <w:abstractNumId w:val="193229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2127458" Type="http://schemas.microsoft.com/office/2011/relationships/commentsExtended" Target="commentsExtended.xml"/><Relationship Id="rId289630098" Type="http://schemas.microsoft.com/office/2011/relationships/people" Target="people.xml"/><Relationship Id="rId5647669ee2b8b27d9" Type="http://schemas.openxmlformats.org/officeDocument/2006/relationships/hyperlink" Target="https://gd.eppo.int/taxon/FUSAEW/" TargetMode="External"/><Relationship Id="rId3306669ee2b8b2848" Type="http://schemas.openxmlformats.org/officeDocument/2006/relationships/hyperlink" Target="https://gd.eppo.int/taxon/FUSAEW/categorization" TargetMode="External"/><Relationship Id="rId4882669ee2b8b6064" Type="http://schemas.openxmlformats.org/officeDocument/2006/relationships/hyperlink" Target="https://doi.org/10.7717/peerj.2141" TargetMode="External"/><Relationship Id="rId5442669ee2b8b6101" Type="http://schemas.openxmlformats.org/officeDocument/2006/relationships/hyperlink" Target="https://doi.org/10.11646/zootaxa.5325.2.10" TargetMode="External"/><Relationship Id="rId9066669ee2b8b61b4" Type="http://schemas.openxmlformats.org/officeDocument/2006/relationships/hyperlink" Target="https://doi.org/10.1093/ee/nvaa103" TargetMode="External"/><Relationship Id="rId9696669ee2b8b6261" Type="http://schemas.openxmlformats.org/officeDocument/2006/relationships/hyperlink" Target="https://doi.org/10.1016/j.simyco.2021.100116" TargetMode="External"/><Relationship Id="rId6010669ee2b8b62f1" Type="http://schemas.openxmlformats.org/officeDocument/2006/relationships/hyperlink" Target="https://doi.org/10.1111/ppa.13600" TargetMode="External"/><Relationship Id="rId1852669ee2b8b636b" Type="http://schemas.openxmlformats.org/officeDocument/2006/relationships/hyperlink" Target="https://pra.eppo.int/pra/4880c445-9ca7-485a-9e3a-edde73e472fa" TargetMode="External"/><Relationship Id="rId6884669ee2b8b63be" Type="http://schemas.openxmlformats.org/officeDocument/2006/relationships/hyperlink" Target="https://gd.eppo.int/taxon/EUWAWH" TargetMode="External"/><Relationship Id="rId2031669ee2b8b646e" Type="http://schemas.openxmlformats.org/officeDocument/2006/relationships/hyperlink" Target="https://doi.org/10.1094/PDIS-03-12-0276-PDN" TargetMode="External"/><Relationship Id="rId3840669ee2b8b64df" Type="http://schemas.openxmlformats.org/officeDocument/2006/relationships/hyperlink" Target="https://doi.org/10.1094/PDIS-11-12-1026-RE" TargetMode="External"/><Relationship Id="rId2671669ee2b8b66a8" Type="http://schemas.openxmlformats.org/officeDocument/2006/relationships/hyperlink" Target="https://doi.org/10.3852/13-066" TargetMode="External"/><Relationship Id="rId7690669ee2b8b6743" Type="http://schemas.openxmlformats.org/officeDocument/2006/relationships/hyperlink" Target="https://doi.org/10.1016/j.aspen.2019.01.013" TargetMode="External"/><Relationship Id="rId2695669ee2b8b67f2" Type="http://schemas.openxmlformats.org/officeDocument/2006/relationships/hyperlink" Target="https://doi.org/10.1093/jee/toy423" TargetMode="External"/><Relationship Id="rId5628669ee2b8b68df" Type="http://schemas.openxmlformats.org/officeDocument/2006/relationships/hyperlink" Target="https://doi.org/10.1093/jee/tov169" TargetMode="External"/><Relationship Id="rId6744669ee2b8b6a64" Type="http://schemas.openxmlformats.org/officeDocument/2006/relationships/hyperlink" Target="https://doi.org/10.3852/15-063" TargetMode="External"/><Relationship Id="rId3751669ee2b8b6af4" Type="http://schemas.openxmlformats.org/officeDocument/2006/relationships/hyperlink" Target="https://doi.org/10.3389/ffgc.2021.654702" TargetMode="External"/><Relationship Id="rId9548669ee2b8b6bc7" Type="http://schemas.openxmlformats.org/officeDocument/2006/relationships/hyperlink" Target="https://doi.org/10.1007/s12600-017-0598-6" TargetMode="External"/><Relationship Id="rId8253669ee2b8b6c9b" Type="http://schemas.openxmlformats.org/officeDocument/2006/relationships/hyperlink" Target="https://doi.org/10.1007/s12600-012-0223-7" TargetMode="External"/><Relationship Id="rId8050669ee2b8b6d66" Type="http://schemas.openxmlformats.org/officeDocument/2006/relationships/hyperlink" Target="https://doi.org/10.1128/mSphere.00810-20" TargetMode="External"/><Relationship Id="rId8082669ee2b8b6dfa" Type="http://schemas.openxmlformats.org/officeDocument/2006/relationships/hyperlink" Target="https://doi:%2010.1016/j.fgb.2014.10.014" TargetMode="External"/><Relationship Id="rId3555669ee2b8b6f1a" Type="http://schemas.openxmlformats.org/officeDocument/2006/relationships/hyperlink" Target="https://doi.org/10.1094/PDIS-09-21-2035-SR" TargetMode="External"/><Relationship Id="rId2904669ee2b8b6faf" Type="http://schemas.openxmlformats.org/officeDocument/2006/relationships/hyperlink" Target="https://doi.org/10.1007/s13313-018-0545-0" TargetMode="External"/><Relationship Id="rId4153669ee2b8b7020" Type="http://schemas.openxmlformats.org/officeDocument/2006/relationships/hyperlink" Target="https://doi.org/10.17159/sajs.2020/8757" TargetMode="External"/><Relationship Id="rId4889669ee2b8b70b1" Type="http://schemas.openxmlformats.org/officeDocument/2006/relationships/hyperlink" Target="https://doi.org/10.7717/peerj.9987" TargetMode="External"/><Relationship Id="rId5098669ee2b8b715d" Type="http://schemas.openxmlformats.org/officeDocument/2006/relationships/hyperlink" Target="https://doi.org/10.1007/s10530-022-02929-w" TargetMode="External"/><Relationship Id="rId5753669ee2b8b720d" Type="http://schemas.openxmlformats.org/officeDocument/2006/relationships/hyperlink" Target="https://doi.org/10.1094/PDIS-07-16-1046-RE" TargetMode="External"/><Relationship Id="rId5983669ee2b8b72c8" Type="http://schemas.openxmlformats.org/officeDocument/2006/relationships/hyperlink" Target="https://doi.org/10.3390/insects10090261" TargetMode="External"/><Relationship Id="rId9834669ee2b8b7348" Type="http://schemas.openxmlformats.org/officeDocument/2006/relationships/hyperlink" Target="https://doi.org/10.1016/B978-0-12-417156-5.00012-5" TargetMode="External"/><Relationship Id="rId1785669ee2b8b73be" Type="http://schemas.openxmlformats.org/officeDocument/2006/relationships/hyperlink" Target="https://www.cabidigitallibrary.org/doi/10.1079/cabicompendium.18360453" TargetMode="External"/><Relationship Id="rId9275669ee2b8b7476" Type="http://schemas.openxmlformats.org/officeDocument/2006/relationships/hyperlink" Target="https://gd.eppo.int" TargetMode="External"/><Relationship Id="rId2193669ee2b8b5160" Type="http://schemas.openxmlformats.org/officeDocument/2006/relationships/image" Target="media/imgrId2193669ee2b8b5160.jpg"/><Relationship Id="rId8542669ee2b8b7578" Type="http://schemas.openxmlformats.org/officeDocument/2006/relationships/image" Target="media/imgrId8542669ee2b8b757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