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euwallaceae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euwallaceae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 Freeman, Z. Mendel, T. Aoki &amp; O’Donnell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Neocosmospora euwallaceae</w:t>
            </w:r>
            <w:r>
              <w:rPr>
                <w:rFonts w:ascii="Calibri" w:hAnsi="Calibri" w:eastAsia="Calibri" w:cs="Calibri"/>
                <w:color w:val="000000"/>
                <w:position w:val="-3"/>
                <w:sz w:val="22"/>
                <w:szCs w:val="22"/>
              </w:rPr>
              <w:t xml:space="preserve"> (S. Freeman, Z. Mendel, T. Aoki &amp; O’Donnell) Sandoval-Denis, L. Lombard &amp; Crous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dieback, Fusarium wilt</w:t>
            </w:r>
            <w:hyperlink r:id="rId971968051944916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7968051944917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FUSAEW</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 characterized as a fungal symbiont, vectored by the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Eichhoff (polyphagous shot hole borer), inciting Fusarium dieback on many host plants. Molecular phylogenetic analyses of multilocus DNA sequence data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 that the symbiont of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constitutes a novel subclade within Clade 3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Furthermore,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was resolved as an independent evolutionary lineage that exhibits a distinct ecology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is a dispute regarding the nomenclature of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whereby certain reports have preferred the designation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based on monophyletic vs polyphyletic conclusions. In this report we have maintained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option since the dispute has not yet been settled.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completely dependent on the botanical host range of its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which is very broad. The host range reported by Gomez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includes 412 botanical species in 75 families; 109 are reported as breeding hosts, 95 are commercial timber tree species and 43 are fruit trees/shrubs. Initially, the avocado industry was the major concern, however, later it was found that the beetle/fungus complex causes serious damage on native and exotic trees in urban landscapes as well as in native forests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Boland, 2016;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beetle’s reproductive success rate, as well as the long list of botanical species belonging to the 'non-reproductive host' category, is the outcome of interactions between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sapwood of the attacked tree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Thus, the host tree selected by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may be grouped into: (i) those that do not allow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to develop, (ii) those that reduce fungal development, and (iii) those that permit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proliferation. In summary, the host range suitable for beetle reproduction is determined by development of </w:t>
      </w:r>
      <w:r>
        <w:rPr>
          <w:rFonts w:ascii="Calibri" w:hAnsi="Calibri" w:eastAsia="Calibri" w:cs="Calibri"/>
          <w:i/>
          <w:iCs/>
          <w:color w:val="000000"/>
          <w:sz w:val="22"/>
          <w:szCs w:val="22"/>
        </w:rPr>
        <w:t xml:space="preserve">F. euwallacea</w:t>
      </w:r>
      <w:r>
        <w:rPr>
          <w:rFonts w:ascii="Calibri" w:hAnsi="Calibri" w:eastAsia="Calibri" w:cs="Calibri"/>
          <w:color w:val="000000"/>
          <w:sz w:val="22"/>
          <w:szCs w:val="22"/>
        </w:rPr>
        <w:t xml:space="preserve">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Banksia saxicola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x blakeana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acerifolius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Calpurnia 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semiserrata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Camptotheca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brewsteri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Chorisia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Cleyera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Cocculus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Cussonia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lycioides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Dombeya cacuminum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humeana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lysistemon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x sykesii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polyanthemos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torquata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Firmiana simplex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Harpullia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Heliocarpus donnellsmithii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Hymenosporum flavum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Lysiphyllum carronii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Melianthus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Metasequoia glyptostroboides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articulata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Parasenegalia visco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x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Pipturus argenteus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kawakamii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gooddingii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Schotia brachypetala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racemosa var. liebmannii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Ungnadia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within the host range section, geographical distribution of the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strictly dictated by the beetle vector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Thus, the beetle/fungal symbiont species complex is native to Asia and Oceania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is reported to have originated from countries within the Far East: China, Japan, Malaysia, Sri Lanka, Taiwan, Thailand, and Vietnam, as well as Samoa (Oceania) and has been introduced into Argentina, Israel, South Africa, and the United States (California and Hawaii)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Europe, outbreaks of the fungus/beetle complex have been reported from protected greenhouse habitats in Poland (Poznan-2019), Italy (Merano-2020), the Netherlands and Germany (Berlin and Erfurt-2021) (Schuler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Removal of the host plants resulted in eradication of the beetle and its fungal symbiont (EPPO, 2024).</w:t>
      </w:r>
    </w:p>
    <w:p>
      <w:r>
        <w:drawing>
          <wp:inline distT="0" distB="0" distL="0" distR="0">
            <wp:extent cx="6120000" cy="3067200"/>
            <wp:docPr id="32240149" name="name23346805194493b58" descr="FUSAEW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EW_distribution_map.jpg"/>
                    <pic:cNvPicPr/>
                  </pic:nvPicPr>
                  <pic:blipFill>
                    <a:blip r:embed="rId62206805194493b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(Chongqing, Guizhou, Xianggang (Hong Kong), Yunnan), India (Uttar Pradesh, West Bengal), Israel, Japan (Ryukyu Archipelago), Malaysia (Sabah),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(Ceara, Minas Gerais, Parana, Santa Catarina,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is an obligate symbiont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serves as a nutritional source for the ambrosia beetle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euwallaceae</w:t>
      </w:r>
      <w:r>
        <w:rPr>
          <w:rFonts w:ascii="Calibri" w:hAnsi="Calibri" w:eastAsia="Calibri" w:cs="Calibri"/>
          <w:color w:val="000000"/>
          <w:sz w:val="22"/>
          <w:szCs w:val="22"/>
        </w:rPr>
        <w:t xml:space="preserve"> is considered nonpathogenic to host plants in its native environment, where most ambrosia beetle species attack only weakened or dying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few ambrosia species, including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colonize healthy trees and cause damage through mass accumulation (Hulcr and Stelinski, 2017). Two more recently described symbiotic fungi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in addition to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are carried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beetle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Lynch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the adult female beetle carries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within the mycangia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appears that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required for establishment in a new host, and this fungus allows the beetle to complete its life cycle. Thus,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involved in two major requirements of the vector: (i) overcoming the xylem tissue resistance for establishment of the beetles in galleries, and (ii) serving as a food source during the first phase of colonizing females, and likely throughout its adult life cycle. It has been suggested that the first food source for early larvae is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while adult parent beetles consume predominantly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The role of </w:t>
      </w:r>
      <w:r>
        <w:rPr>
          <w:rFonts w:ascii="Calibri" w:hAnsi="Calibri" w:eastAsia="Calibri" w:cs="Calibri"/>
          <w:i/>
          <w:iCs/>
          <w:color w:val="000000"/>
          <w:sz w:val="22"/>
          <w:szCs w:val="22"/>
        </w:rPr>
        <w:t xml:space="preserve">Paracremonium pemberum</w:t>
      </w:r>
      <w:r>
        <w:rPr>
          <w:rFonts w:ascii="Calibri" w:hAnsi="Calibri" w:eastAsia="Calibri" w:cs="Calibri"/>
          <w:color w:val="000000"/>
          <w:sz w:val="22"/>
          <w:szCs w:val="22"/>
        </w:rPr>
        <w:t xml:space="preserve"> has not yet been determined, although it may be postulated to serve as an antagonist of contaminant fungi, including the previous two symbionts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female ambrosia beetles bore and tunnel into the trunk, stems and branches of healthy trees and cause damage through mass accumulation. Thereafter, the symbiont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released from beetle mycangia colonizes the base of secondary branches, resulting in localized branch dieback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produces localized necrosis inciting a significant amount of damage when inoculated by a large number of beetles within the host tree galleries (Smith and Hulcr, 2015). Pathogenicity is manifested by invasion of the tree vascular system, causing cambial necrosis, sugar or gum exudation, branch dieback, and mortality of a wide spectrum of tree hosts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avocado,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did not spread far from the beetle galleries and remained viable in live xylem for up to 25 months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Recovery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from heavily infested branches can be identified according to stained gallery tissues as was determined in naturally fungus-infected avocado.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forms ellipsoidal, blue to brownish-pigmented clavate, multiseptated macroconidia, a useful phenotypic character for distinguishing this species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Aerial conidia are mostly ellipsoidal, fusiform-ellipsoidal to short clavate, e.g. three-septate measuring on average 22.5–39 × 6.5–11 µm. Chlamydospores are formed abundantly in hyphae and in conidia, mostly subglobose to round ellipsoidal, intercalary or terminal, single, or often in chains, ordinary hyaline to pale-yellow, later becoming bluish to brownish when strongly pigmented, smooth to often rough-walled, measuring on average 6–12 × 6–10 µm; sclerotia are absent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Colonies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on PDA show radial mycelial growth rates of 4.5 to 4.8 mm/day at 25°C.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Susceptible tree hosts, such as box elder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and/or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should be surveyed periodically for tree mortality and/or branch dieback with signs of beetle attack at junctions of small and mid-size shaded branches, showing the presence of frass at exit holes accompanied by exudates described following infection (Eskalen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these infection sites, plant material can be plated on PDA and/or SNA media for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identification according to morphology (Freeman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by molecular identification according to species-specific PCR amplification protocols of DNA extracted from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(de Jager and Roets, 2022;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is vectored actively by the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ambrosia beetle which is the major means of dispersal of the pathogen. Therefore, over short distances, flight of female beetles carrying the fungus within their mycangia is one of the main means of movement to previously uninfected areas where susceptible host plant species prevail (EPPO, 2024). In addition, the movement and shipping of beetle and fungus-infected timber and wood packaging material, are also ways of spreading the fungal-vector complex, mainly at ports of entry to countries where the products are delivered. Movement of infested host plants for planting can also transport all stages of the fungal-vector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economic impacts have been reported in various countries and areas worldwide, including Argentina, California (USA), Israel and South Africa. In various host plants, the beetle bores and tunnels into trunks, stems and branches of healthy trees and causes damage through mass infestations. Female beetles usually colonize the base of secondary branches, release spores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resulting in localized branch dieback. Besides detrimentally affecting the health of host trees, beetle-pathogen colonization and establishment and weakened trees can also fall and cause damage and injury (EPPO,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the fungus-beetle complex causes serious damage to urban environments (Paap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Israel, the complex has severely affected avocado crop cultivation and yields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Argentina, the maple industry has been compromised, whereby branch dieback and complete tree mortality have been reported within a short period of time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Southern California in both urban and native stands, a wide range of ornamental and agriculturally important hardwood host species are threatened, and infestations are causing serious ecological and environmental damage (Chen et al.,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to management procedures for the beetle that vectors the pathogen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early detection, sanitation measures and preventive insecticide sprays should be implemented. Infested branches should be removed and destroyed (chipped, burned, buried or solarized by covering under a tarp under direct sun (Jones and Paine,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/beetle complex affecting sycamore trees in California has been reported using pesticide injection techniques. It was shown that the systemic fungicide propiconazole, alone or combined with the systemic insecticide emamectin benzoate, can significantly reduce the fungal infection after infestation by the beetle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Thus, emamectin benzoate alone or combined with propiconazole can significantly act as therapeutic and preventative treatments for management of the fungal/beetle complex in sycamore trees in southern California (Grosman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 broad spectrum of host plants has been recorded for the species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vectoring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For example, among 583 examined tree species, 13.8% were considered reproductive hosts, allowing the symbiotic fungus to survive and colonize plants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Therefore, any of this woody material of a suitable size and moisture content may be infested and thus, pose a direct risk of the beetle/fungal population establishing itself in areas outside the natural habitat of the complex (EPPO, 2024). In the EPPO region, and elsewhere, certain fruit crops such as avocado (Mendel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other ornamental trees can be a source of spread of the complex if not strictly monitored before being exported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Global movement of commodities has increased significantly over the years, thus the transport of </w:t>
      </w:r>
      <w:r>
        <w:rPr>
          <w:rFonts w:ascii="Calibri" w:hAnsi="Calibri" w:eastAsia="Calibri" w:cs="Calibri"/>
          <w:i/>
          <w:iCs/>
          <w:color w:val="000000"/>
          <w:sz w:val="22"/>
          <w:szCs w:val="22"/>
        </w:rPr>
        <w:t xml:space="preserve">F. euwallaceae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fornicatus</w:t>
      </w:r>
      <w:r>
        <w:rPr>
          <w:rFonts w:ascii="Calibri" w:hAnsi="Calibri" w:eastAsia="Calibri" w:cs="Calibri"/>
          <w:color w:val="000000"/>
          <w:sz w:val="22"/>
          <w:szCs w:val="22"/>
        </w:rPr>
        <w:t xml:space="preserve"> complex in timber and wood packaging material, such as pallets, crates and dunnage should be monitored, and/or treated to eliminate beetle/pathogen introduction (EPPO, 2024). Spread and establishment of potential beetle infestations and fungal infections via plants for planting may also take place, therefore, such plant material should originate from pest-free areas or pest-free production sites where plants are cultivated under physical isolation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Boland J (2016) The impact of an invasive ambrosia beetle on the riparian habitats of the Tijuana River Valley, California. </w:t>
      </w:r>
      <w:r>
        <w:rPr>
          <w:rFonts w:ascii="Calibri" w:hAnsi="Calibri" w:eastAsia="Calibri" w:cs="Calibri"/>
          <w:i/>
          <w:iCs/>
          <w:color w:val="000000"/>
          <w:sz w:val="22"/>
          <w:szCs w:val="22"/>
        </w:rPr>
        <w:t xml:space="preserve">PeerJ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e2141. </w:t>
      </w:r>
      <w:hyperlink r:id="rId153868051944948e4" w:history="1">
        <w:r>
          <w:rPr>
            <w:rFonts w:ascii="Calibri" w:hAnsi="Calibri" w:eastAsia="Calibri" w:cs="Calibri"/>
            <w:color w:val="0000CC"/>
            <w:sz w:val="22"/>
            <w:szCs w:val="22"/>
            <w:u w:val="single"/>
          </w:rPr>
          <w:t xml:space="preserve">https://doi.org/10.7717/peerj.2141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Johnson AJ &amp; Gomez DF (2023) Uncharted territories: First report of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in South America with new reproductive hosts records.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5325</w:t>
      </w:r>
      <w:r>
        <w:rPr>
          <w:rFonts w:ascii="Calibri" w:hAnsi="Calibri" w:eastAsia="Calibri" w:cs="Calibri"/>
          <w:color w:val="000000"/>
          <w:sz w:val="22"/>
          <w:szCs w:val="22"/>
        </w:rPr>
        <w:t xml:space="preserve">(2), 289–297. </w:t>
      </w:r>
      <w:hyperlink r:id="rId8845680519449497c" w:history="1">
        <w:r>
          <w:rPr>
            <w:rFonts w:ascii="Calibri" w:hAnsi="Calibri" w:eastAsia="Calibri" w:cs="Calibri"/>
            <w:color w:val="0000CC"/>
            <w:sz w:val="22"/>
            <w:szCs w:val="22"/>
            <w:u w:val="single"/>
          </w:rPr>
          <w:t xml:space="preserve">https://doi.org/10.11646/zootaxa.5325.2.10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Coleman TW, Poloni AL, Nelson L &amp; Seybold SJ (2020) Reproduction and control of the invasive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in three species of hardwoods: Effective sanitation through felling and chipping.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1155-1163. </w:t>
      </w:r>
      <w:hyperlink r:id="rId25286805194494a2c" w:history="1">
        <w:r>
          <w:rPr>
            <w:rFonts w:ascii="Calibri" w:hAnsi="Calibri" w:eastAsia="Calibri" w:cs="Calibri"/>
            <w:color w:val="0000CC"/>
            <w:sz w:val="22"/>
            <w:szCs w:val="22"/>
            <w:u w:val="single"/>
          </w:rPr>
          <w:t xml:space="preserve">https://doi.org/10.1093/ee/nvaa103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Crous PW, Lombard L, Sandoval-Denis M, Seifert KA, Schroers HJ, Chaverri P, Gené J, Guarro J, Hirooka Y, Bensch K, Kema GHJ, Lamprecht SC, Cai L, Rossman AY, Stadler M, Summerbell RC, Taylor JW, Ploch S, Visagie CM, Yilmaz N, Frisvad JC, Abdel-Azeem AM, Abdollahzadeh J, Abdolrasouli A, Akulov A, Alberts JF, Araújo JPM, Ariyawansa HA, Bakhshi M, Bendiksby M, Ben Hadj Amor A, Bezerra JDP, Boekhout T, Câmara MPS, Carbia M, Cardinali G, Castañeda-Ruiz RF, Celis A, Chaturvedi V, Collemare J, Croll D, Damm U, Decock CA, de Vries RP, Ezekiel CN, Fan XL, Fernández NB, Gaya E, González CD, Gramaje D, Groenewald JZ, Grube M, Guevara-Suarez M, Gupta VK, Guarnaccia V, Haddaji A, Hagen F, Haelewaters D, Hansen K, Hashimoto A, Hernández-Restrepo M, Houbraken J, Hubka V, Hyde KD, Iturriaga T, Jeewon R, Johnston PR, Jurjević Ž, Karalti I, Korsten L, Kuramae EE, Kušan I, Labuda R, Lawrence DP, Lee HB, Lechat C, Li HY, Litovka YA, Maharachchikumbura SSN, Marin-Felix Y, Matio Kemkuignou B, Matočec N, McTaggart AR, Mlčoch P, Mugnai L, Nakashima C, Nilsson RH, Noumeur SR, Pavlov IN, Peralta MP, Phillips AJL, Pitt JI, Polizzi G, Quaedvlieg W, Rajeshkumar KC, Restrepo S, Rhaiem A, Robert J, Robert V, Rodrigues AM, Salgado-Salazar C, Samson RA, Santos ACS, Shivas RG, Souza-Motta CM, Sun GY, Swart WJ, Szoke S, Tan YP, Taylor JE, Taylor PWJ, Tiago PV, Váczy KZ, van de Wiele N, van der Merwe NA, Verkley GJM, Vieira WAS, Vizzini A, Weir BS, Wijayawardene NN, Xia JW, Yáñez-Morales MJ, Yurkov A, Zamora JC, Zare R, Zhang CL, &amp; Thines M (2021)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More than a node or a foot-shaped basal cell.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е100116. </w:t>
      </w:r>
      <w:hyperlink r:id="rId87856805194494aca" w:history="1">
        <w:r>
          <w:rPr>
            <w:rFonts w:ascii="Calibri" w:hAnsi="Calibri" w:eastAsia="Calibri" w:cs="Calibri"/>
            <w:color w:val="0000CC"/>
            <w:sz w:val="22"/>
            <w:szCs w:val="22"/>
            <w:u w:val="single"/>
          </w:rPr>
          <w:t xml:space="preserve">https://doi.org/10.1016/j.simyco.2021.100116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Jager MM &amp; Roets F (2022) Rapid and cost-effective detection of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from woody tissues.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1712-1720. </w:t>
      </w:r>
      <w:hyperlink r:id="rId81206805194494b59" w:history="1">
        <w:r>
          <w:rPr>
            <w:rFonts w:ascii="Calibri" w:hAnsi="Calibri" w:eastAsia="Calibri" w:cs="Calibri"/>
            <w:color w:val="0000CC"/>
            <w:sz w:val="22"/>
            <w:szCs w:val="22"/>
            <w:u w:val="single"/>
          </w:rPr>
          <w:t xml:space="preserve">https://doi.org/10.1111/ppa.13600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Euwallacea fornicatus sensu lato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(revised version), 8 pp. </w:t>
      </w:r>
      <w:hyperlink r:id="rId93316805194494bc9" w:history="1">
        <w:r>
          <w:rPr>
            <w:rFonts w:ascii="Calibri" w:hAnsi="Calibri" w:eastAsia="Calibri" w:cs="Calibri"/>
            <w:color w:val="0000CC"/>
            <w:sz w:val="22"/>
            <w:szCs w:val="22"/>
            <w:u w:val="single"/>
          </w:rPr>
          <w:t xml:space="preserve">https://pra.eppo.int/pra/4880c445-9ca7-485a-9e3a-edde73e472fa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Euwallacea fornicatus sensu stricto</w:t>
      </w:r>
      <w:r>
        <w:rPr>
          <w:rFonts w:ascii="Calibri" w:hAnsi="Calibri" w:eastAsia="Calibri" w:cs="Calibri"/>
          <w:color w:val="000000"/>
          <w:sz w:val="22"/>
          <w:szCs w:val="22"/>
        </w:rPr>
        <w:t xml:space="preserve">. EPPO datasheets on pests recommended for regulation. Available online. </w:t>
      </w:r>
      <w:hyperlink r:id="rId53186805194494c65" w:history="1">
        <w:r>
          <w:rPr>
            <w:rFonts w:ascii="Calibri" w:hAnsi="Calibri" w:eastAsia="Calibri" w:cs="Calibri"/>
            <w:color w:val="0000CC"/>
            <w:sz w:val="22"/>
            <w:szCs w:val="22"/>
            <w:u w:val="single"/>
          </w:rPr>
          <w:t xml:space="preserve">https://gd.eppo.int/taxon/EUWAWH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Gonzalez A, Wang DH, Twizeyimana M, Mayorquin SJ &amp; Lynch SC (2012) First report of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sp.and its vector tea shot hole borer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causing fusarium dieback on avocado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(7), 1070. </w:t>
      </w:r>
      <w:hyperlink r:id="rId40706805194494d18" w:history="1">
        <w:r>
          <w:rPr>
            <w:rFonts w:ascii="Calibri" w:hAnsi="Calibri" w:eastAsia="Calibri" w:cs="Calibri"/>
            <w:color w:val="0000CC"/>
            <w:sz w:val="22"/>
            <w:szCs w:val="22"/>
            <w:u w:val="single"/>
          </w:rPr>
          <w:t xml:space="preserve">https://doi.org/10.1094/PDIS-03-12-0276-PDN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Eskalen A, Stouthamer R, Lynch SC, Rugman-Jones PF, Twizeyimana M, Gonzalez A &amp; Thibault T (2013) Host range of Fusarium dieback and its ambrosia beetle (Coleoptera: Scolytinae) vector in Southern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(7), 938–951. </w:t>
      </w:r>
      <w:hyperlink r:id="rId80646805194494d8d" w:history="1">
        <w:r>
          <w:rPr>
            <w:rFonts w:ascii="Calibri" w:hAnsi="Calibri" w:eastAsia="Calibri" w:cs="Calibri"/>
            <w:color w:val="0000CC"/>
            <w:sz w:val="22"/>
            <w:szCs w:val="22"/>
            <w:u w:val="single"/>
          </w:rPr>
          <w:t xml:space="preserve">https://doi.org/10.1094/PDIS-11-12-1026-RE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Freeman S, Miller G, Protasov A, Maymon M, Elazar M, David-Schwartz R, Zhou J &amp; Mendel Z (2019) Aposymbiotic interactions of three ambrosia beetle fungi with avocado trees. </w:t>
      </w:r>
      <w:r>
        <w:rPr>
          <w:rFonts w:ascii="Calibri" w:hAnsi="Calibri" w:eastAsia="Calibri" w:cs="Calibri"/>
          <w:i/>
          <w:iCs/>
          <w:color w:val="000000"/>
          <w:sz w:val="22"/>
          <w:szCs w:val="22"/>
        </w:rPr>
        <w:t xml:space="preserve">Fungal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,117-130.</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Dori-Bachash M, Maymon M, Belausov E, Maoz Y, Margalit O, Protasov A &amp; Mendel Z (2016) Symbiotic association of three fungal species throughout the life cycle of the ambrosia beetle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nr.</w:t>
      </w:r>
      <w:r>
        <w:rPr>
          <w:rFonts w:ascii="Calibri" w:hAnsi="Calibri" w:eastAsia="Calibri" w:cs="Calibri"/>
          <w:i/>
          <w:iCs/>
          <w:color w:val="000000"/>
          <w:sz w:val="22"/>
          <w:szCs w:val="22"/>
        </w:rPr>
        <w:t xml:space="preserve"> fornicatus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Symbiosis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S, Sharon M, Maymon M, Mendel Z, Protasov A, Aoki T, Eskalen A &amp; O’Donnell K (2013)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sp. nov. - A symbiotic fungus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an invasive ambrosia beetle in Israel and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(6), 1595–1606. </w:t>
      </w:r>
      <w:hyperlink r:id="rId48576805194494f38" w:history="1">
        <w:r>
          <w:rPr>
            <w:rFonts w:ascii="Calibri" w:hAnsi="Calibri" w:eastAsia="Calibri" w:cs="Calibri"/>
            <w:color w:val="0000CC"/>
            <w:sz w:val="22"/>
            <w:szCs w:val="22"/>
            <w:u w:val="single"/>
          </w:rPr>
          <w:t xml:space="preserve">https://doi.org/10.3852/13-066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Gomez DF, Lin W, Gao L &amp; Li Y (2019) New host plant records for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(Eichhoff) species complex (Coleoptera: Curculionidae: Scolytinae) across its natural and introduced distribution.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 338–340. </w:t>
      </w:r>
      <w:hyperlink r:id="rId67486805194494fc9" w:history="1">
        <w:r>
          <w:rPr>
            <w:rFonts w:ascii="Calibri" w:hAnsi="Calibri" w:eastAsia="Calibri" w:cs="Calibri"/>
            <w:color w:val="0000CC"/>
            <w:sz w:val="22"/>
            <w:szCs w:val="22"/>
            <w:u w:val="single"/>
          </w:rPr>
          <w:t xml:space="preserve">https://doi.org/10.1016/j.aspen.2019.01.013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Grosman DM, Eskalen A &amp; Brownie C (2019) Evaluation of emamectin benzoate and propiconazole for management of a new invasive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and symbiotic fungi in California sycamores.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(3), 1267-1273. </w:t>
      </w:r>
      <w:hyperlink r:id="rId3578680519449507a" w:history="1">
        <w:r>
          <w:rPr>
            <w:rFonts w:ascii="Calibri" w:hAnsi="Calibri" w:eastAsia="Calibri" w:cs="Calibri"/>
            <w:color w:val="0000CC"/>
            <w:sz w:val="22"/>
            <w:szCs w:val="22"/>
            <w:u w:val="single"/>
          </w:rPr>
          <w:t xml:space="preserve">https://doi.org/10.1093/jee/toy423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Hulcr J &amp; Stelinski LL (2017) The ambrosia symbiosis: from evolutionary ecology to practical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285-303.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M &amp; Paine TD (2015) Effect of chipping and solarization on emergence and boring activity of a recently introduced ambrosia beetle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Coleoptera: Curculionidae: Scolytinae)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1852–1859. </w:t>
      </w:r>
      <w:hyperlink r:id="rId6029680519449517a" w:history="1">
        <w:r>
          <w:rPr>
            <w:rFonts w:ascii="Calibri" w:hAnsi="Calibri" w:eastAsia="Calibri" w:cs="Calibri"/>
            <w:color w:val="0000CC"/>
            <w:sz w:val="22"/>
            <w:szCs w:val="22"/>
            <w:u w:val="single"/>
          </w:rPr>
          <w:t xml:space="preserve">https://doi.org/10.1093/jee/tov169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O’Donnell K, Rooney AP, Sink S, Ploetz R, Ploetz JN, Konkol JN, Carillo D, Freeman S, Mendel Z, Smith JE, Black A, Hulcr J, Bateman C, Black AW, Campbell PR, Geering AD, Dann EK, Eskalen A, Mohotti K, Short DP, Aoki T, Fenstermacher KA, Davis DD &amp; Geiser DM (2013) An inordinate fondness for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phylogenetic diversity of fusaria cultivated by ambrosia beetles in the genus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on avocado and other plant hosts.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147–157.</w:t>
      </w:r>
    </w:p>
    <w:p>
      <w:pPr>
        <w:widowControl w:val="on"/>
        <w:pBdr/>
        <w:spacing w:before="220" w:after="220" w:line="240" w:lineRule="auto"/>
        <w:ind w:left="0" w:right="0"/>
        <w:jc w:val="left"/>
      </w:pPr>
      <w:r>
        <w:rPr>
          <w:rFonts w:ascii="Calibri" w:hAnsi="Calibri" w:eastAsia="Calibri" w:cs="Calibri"/>
          <w:color w:val="000000"/>
          <w:sz w:val="22"/>
          <w:szCs w:val="22"/>
        </w:rPr>
        <w:t xml:space="preserve">Lynch S, Twizeyimana M, Wang D, Mayorquin J, Na F, Kayim M, Kasson MT, Thu PQ, Bateman C, Rugman-Jones P, Hulcr J, Stouthamer R &amp; Eskalen A (2016) Identification, pathogenicity, and abundance of </w:t>
      </w:r>
      <w:r>
        <w:rPr>
          <w:rFonts w:ascii="Calibri" w:hAnsi="Calibri" w:eastAsia="Calibri" w:cs="Calibri"/>
          <w:i/>
          <w:iCs/>
          <w:color w:val="000000"/>
          <w:sz w:val="22"/>
          <w:szCs w:val="22"/>
        </w:rPr>
        <w:t xml:space="preserve">Paracremonium pembeum</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Graphium euwallaceae</w:t>
      </w:r>
      <w:r>
        <w:rPr>
          <w:rFonts w:ascii="Calibri" w:hAnsi="Calibri" w:eastAsia="Calibri" w:cs="Calibri"/>
          <w:color w:val="000000"/>
          <w:sz w:val="22"/>
          <w:szCs w:val="22"/>
        </w:rPr>
        <w:t xml:space="preserve"> sp. nov. - two new mycangial fungal associates of the polyphagous shot hole borer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sp.) in California.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313-329</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hyperlink r:id="rId21516805194495305" w:history="1">
        <w:r>
          <w:rPr>
            <w:rFonts w:ascii="Calibri" w:hAnsi="Calibri" w:eastAsia="Calibri" w:cs="Calibri"/>
            <w:color w:val="0000CC"/>
            <w:sz w:val="22"/>
            <w:szCs w:val="22"/>
            <w:u w:val="single"/>
          </w:rPr>
          <w:t xml:space="preserve">https://doi.org/10.3852/15-063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Lynch SC, Eskalen A, Protasov A, Maymon M &amp; Freeman S (2021) What determines host range and reproductive performance of an invasive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lessons from Israel and California. </w:t>
      </w:r>
      <w:r>
        <w:rPr>
          <w:rFonts w:ascii="Calibri" w:hAnsi="Calibri" w:eastAsia="Calibri" w:cs="Calibri"/>
          <w:i/>
          <w:iCs/>
          <w:color w:val="000000"/>
          <w:sz w:val="22"/>
          <w:szCs w:val="22"/>
        </w:rPr>
        <w:t xml:space="preserve">Frontiers in Forests and Global Change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654702. </w:t>
      </w:r>
      <w:hyperlink r:id="rId92446805194495398" w:history="1">
        <w:r>
          <w:rPr>
            <w:rFonts w:ascii="Calibri" w:hAnsi="Calibri" w:eastAsia="Calibri" w:cs="Calibri"/>
            <w:color w:val="0000CC"/>
            <w:sz w:val="22"/>
            <w:szCs w:val="22"/>
            <w:u w:val="single"/>
          </w:rPr>
          <w:t xml:space="preserve">https://doi.org/10.3389/ffgc.2021.654702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Maoz Y, Maymon M, Miller G, Elazar M &amp; Freeman S (2017) The role of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nr.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Scolytinae) in the wilt syndrome of avocado trees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341–359. </w:t>
      </w:r>
      <w:hyperlink r:id="rId9553680519449543b" w:history="1">
        <w:r>
          <w:rPr>
            <w:rFonts w:ascii="Calibri" w:hAnsi="Calibri" w:eastAsia="Calibri" w:cs="Calibri"/>
            <w:color w:val="0000CC"/>
            <w:sz w:val="22"/>
            <w:szCs w:val="22"/>
            <w:u w:val="single"/>
          </w:rPr>
          <w:t xml:space="preserve">https://doi.org/10.1007/s12600-017-0598-6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Mendel Z, Protasov A, Sharon M, Zveibil A, Yehuda SB, O’Donnell K, Rabaglia R, Wysoki M &amp; Freeman S (2012) An Asian ambrosia beetle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and its novel symbiotic fungus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 pose a serious threat to the Israeli avocado industry.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235–238. </w:t>
      </w:r>
      <w:hyperlink r:id="rId176368051944954ec" w:history="1">
        <w:r>
          <w:rPr>
            <w:rFonts w:ascii="Calibri" w:hAnsi="Calibri" w:eastAsia="Calibri" w:cs="Calibri"/>
            <w:color w:val="0000CC"/>
            <w:sz w:val="22"/>
            <w:szCs w:val="22"/>
            <w:u w:val="single"/>
          </w:rPr>
          <w:t xml:space="preserve">https://doi.org/10.1007/s12600-012-0223-7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Al-Hatmi AMS, Aoki T, Brankovics B, Cano-Lira JF, Coleman JJ, de Hoog GS, Di Pietro A, Frandsen RJN, Geiser DM, Gibas CFC, Guarro J, Kim HS, Kistler HC, Laraba I, Leslie JF, López-Berges MS, Lysøe E, Meis JF, Monod M, Proctor RH, Rep M, Ruiz-Roldán C, Šišić A, Stajich JE, Steenkamp ET, Summerell BA, van der Lee TAJ, van Diepeningen AD, Verweij PE, Waalwijk C, Ward TJ, Wickes BL, Wiederhold NP, Wingfield MJ, Zhang N, &amp; Zhang SX (2020) No to </w:t>
      </w:r>
      <w:r>
        <w:rPr>
          <w:rFonts w:ascii="Calibri" w:hAnsi="Calibri" w:eastAsia="Calibri" w:cs="Calibri"/>
          <w:i/>
          <w:iCs/>
          <w:color w:val="000000"/>
          <w:sz w:val="22"/>
          <w:szCs w:val="22"/>
        </w:rPr>
        <w:t xml:space="preserve">Neocosmospora</w:t>
      </w:r>
      <w:r>
        <w:rPr>
          <w:rFonts w:ascii="Calibri" w:hAnsi="Calibri" w:eastAsia="Calibri" w:cs="Calibri"/>
          <w:color w:val="000000"/>
          <w:sz w:val="22"/>
          <w:szCs w:val="22"/>
        </w:rPr>
        <w:t xml:space="preserve">: phylogenomic and practical reasons for continued inclusion of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in the genus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mSphere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e00810-20. </w:t>
      </w:r>
      <w:hyperlink r:id="rId381568051944955be" w:history="1">
        <w:r>
          <w:rPr>
            <w:rFonts w:ascii="Calibri" w:hAnsi="Calibri" w:eastAsia="Calibri" w:cs="Calibri"/>
            <w:color w:val="0000CC"/>
            <w:sz w:val="22"/>
            <w:szCs w:val="22"/>
            <w:u w:val="single"/>
          </w:rPr>
          <w:t xml:space="preserve">https://doi.org/10.1128/mSphere.00810-20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Sink S, Libeskind-Hadas R, Hulcr J, Kasson M &amp; Ploetz R (2015) Discordant phylogenies suggest repeated host shifts in the </w:t>
      </w:r>
      <w:r>
        <w:rPr>
          <w:rFonts w:ascii="Calibri" w:hAnsi="Calibri" w:eastAsia="Calibri" w:cs="Calibri"/>
          <w:i/>
          <w:iCs/>
          <w:color w:val="000000"/>
          <w:sz w:val="22"/>
          <w:szCs w:val="22"/>
        </w:rPr>
        <w:t xml:space="preserve">Fusarium euwallacea</w:t>
      </w:r>
      <w:r>
        <w:rPr>
          <w:rFonts w:ascii="Calibri" w:hAnsi="Calibri" w:eastAsia="Calibri" w:cs="Calibri"/>
          <w:color w:val="000000"/>
          <w:sz w:val="22"/>
          <w:szCs w:val="22"/>
        </w:rPr>
        <w:t xml:space="preserve"> ambrosia beetle mutualism.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277–290. </w:t>
      </w:r>
      <w:hyperlink r:id="rId56666805194495651" w:history="1">
        <w:r>
          <w:rPr>
            <w:rFonts w:ascii="Calibri" w:hAnsi="Calibri" w:eastAsia="Calibri" w:cs="Calibri"/>
            <w:color w:val="0000CC"/>
            <w:sz w:val="22"/>
            <w:szCs w:val="22"/>
            <w:u w:val="single"/>
          </w:rPr>
          <w:t xml:space="preserve">https://doi: 10.1016/j.fgb.2014.10.014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O’Donnell K, Sutton DA, Fothergill A, McCarthy D, Rinaldi MG, Brandt ME, Zhang N &amp; Geiser DM (2008) Molecular phylogenetic diversity, multilocus haplotype nomenclature, and in vitro antifungal resistance within the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Clinical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2477-2490.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Whitaker BK, Laraba I, Proctor RH, Brown DW, Broders K, Kim H-S, McCormick SP, Busman M, Aoki T, Torres-Cruz TJ, &amp; Geiser DM (2022) DNA sequence-based identification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A work in progress.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(6), 1597-1609. </w:t>
      </w:r>
      <w:hyperlink r:id="rId60686805194495762" w:history="1">
        <w:r>
          <w:rPr>
            <w:rFonts w:ascii="Calibri" w:hAnsi="Calibri" w:eastAsia="Calibri" w:cs="Calibri"/>
            <w:color w:val="0000CC"/>
            <w:sz w:val="22"/>
            <w:szCs w:val="22"/>
            <w:u w:val="single"/>
          </w:rPr>
          <w:t xml:space="preserve">https://doi.org/10.1094/PDIS-09-21-2035-SR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de Beer ZW, Migliorini D, Nel WJ &amp; Wingfield MJ (2018) The polyphagous shot hole borer (PSHB) and its fungal symbiont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A new invasion in South Africa.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231–237. </w:t>
      </w:r>
      <w:hyperlink r:id="rId781968051944957f4" w:history="1">
        <w:r>
          <w:rPr>
            <w:rFonts w:ascii="Calibri" w:hAnsi="Calibri" w:eastAsia="Calibri" w:cs="Calibri"/>
            <w:color w:val="0000CC"/>
            <w:sz w:val="22"/>
            <w:szCs w:val="22"/>
            <w:u w:val="single"/>
          </w:rPr>
          <w:t xml:space="preserve">https://doi.org/10.1007/s13313-018-0545-0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Paap T, Wingfield MJ, de Beer ZW &amp; Roets F (2020) Lessons from a major pest invasion: The polyphagous shot hole borer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(11/12), 10–13. </w:t>
      </w:r>
      <w:hyperlink r:id="rId98056805194495864" w:history="1">
        <w:r>
          <w:rPr>
            <w:rFonts w:ascii="Calibri" w:hAnsi="Calibri" w:eastAsia="Calibri" w:cs="Calibri"/>
            <w:color w:val="0000CC"/>
            <w:sz w:val="22"/>
            <w:szCs w:val="22"/>
            <w:u w:val="single"/>
          </w:rPr>
          <w:t xml:space="preserve">https://doi.org/10.17159/sajs.2020/8757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Au M, Ebrahimi V, Eskalen A, Gillett CPDT, Honsberger D, Husein D, Wright MG, Yousuf F, &amp; Stouthamer R (2020) One becomes two: Second species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(Coleoptera: Curculionidae: Scolytinae) species complex is established on two Hawaiian Islands.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e9987. </w:t>
      </w:r>
      <w:hyperlink r:id="rId683968051944958f7" w:history="1">
        <w:r>
          <w:rPr>
            <w:rFonts w:ascii="Calibri" w:hAnsi="Calibri" w:eastAsia="Calibri" w:cs="Calibri"/>
            <w:color w:val="0000CC"/>
            <w:sz w:val="22"/>
            <w:szCs w:val="22"/>
            <w:u w:val="single"/>
          </w:rPr>
          <w:t xml:space="preserve">https://doi.org/10.7717/peerj.9987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Schuler H, Witkowski R, van de Vossenberg B, Hoppe B, Mittelbach M, Bukovinszki T, Schwembacher S, van de Meulengraaf B, Lange U, Rode S, Andriolo A, Bełka M, Mazur A &amp; Battisti A (2022) Recent invasion and eradication of two members of the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species complex (Coleoptera: Curculionidae: Scolytinae) from tropical greenhouses in Europe.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299-307. </w:t>
      </w:r>
      <w:hyperlink r:id="rId99426805194495987" w:history="1">
        <w:r>
          <w:rPr>
            <w:rFonts w:ascii="Calibri" w:hAnsi="Calibri" w:eastAsia="Calibri" w:cs="Calibri"/>
            <w:color w:val="0000CC"/>
            <w:sz w:val="22"/>
            <w:szCs w:val="22"/>
            <w:u w:val="single"/>
          </w:rPr>
          <w:t xml:space="preserve">https://doi.org/10.1007/s10530-022-02929-w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O'Donnell K, Stajich JE, Hulcr J, Kijimoto T, Berger MC, Macias AM, Spahr EJ, Bateman CC, Eskalen A, Lynch SC, Cognato AI, Cooperband MF &amp; Kasson MT (2017) PCR multiplexes discriminate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symbionts of invasive </w:t>
      </w:r>
      <w:r>
        <w:rPr>
          <w:rFonts w:ascii="Calibri" w:hAnsi="Calibri" w:eastAsia="Calibri" w:cs="Calibri"/>
          <w:i/>
          <w:iCs/>
          <w:color w:val="000000"/>
          <w:sz w:val="22"/>
          <w:szCs w:val="22"/>
        </w:rPr>
        <w:t xml:space="preserve">Euwallacea </w:t>
      </w:r>
      <w:r>
        <w:rPr>
          <w:rFonts w:ascii="Calibri" w:hAnsi="Calibri" w:eastAsia="Calibri" w:cs="Calibri"/>
          <w:color w:val="000000"/>
          <w:sz w:val="22"/>
          <w:szCs w:val="22"/>
        </w:rPr>
        <w:t xml:space="preserve">ambrosia beetles that inflict damage on numerous tree species throughout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233–240. </w:t>
      </w:r>
      <w:hyperlink r:id="rId44256805194495a38" w:history="1">
        <w:r>
          <w:rPr>
            <w:rFonts w:ascii="Calibri" w:hAnsi="Calibri" w:eastAsia="Calibri" w:cs="Calibri"/>
            <w:color w:val="0000CC"/>
            <w:sz w:val="22"/>
            <w:szCs w:val="22"/>
            <w:u w:val="single"/>
          </w:rPr>
          <w:t xml:space="preserve">https://doi.org/10.1094/PDIS-07-16-1046-RE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Gomez DF, Beaver RA, Hulcr J &amp; Cognato AI (2019) Reassessment of the species in the </w:t>
      </w:r>
      <w:r>
        <w:rPr>
          <w:rFonts w:ascii="Calibri" w:hAnsi="Calibri" w:eastAsia="Calibri" w:cs="Calibri"/>
          <w:i/>
          <w:iCs/>
          <w:color w:val="000000"/>
          <w:sz w:val="22"/>
          <w:szCs w:val="22"/>
        </w:rPr>
        <w:t xml:space="preserve">Euwallacea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fornicatus</w:t>
      </w:r>
      <w:r>
        <w:rPr>
          <w:rFonts w:ascii="Calibri" w:hAnsi="Calibri" w:eastAsia="Calibri" w:cs="Calibri"/>
          <w:color w:val="000000"/>
          <w:sz w:val="22"/>
          <w:szCs w:val="22"/>
        </w:rPr>
        <w:t xml:space="preserve"> (Coleoptera: Curculionidae: Scolytinae) complex after the rediscovery of the ‘lost’ type specimen.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(261), 1–11. </w:t>
      </w:r>
      <w:hyperlink r:id="rId42956805194495ae8" w:history="1">
        <w:r>
          <w:rPr>
            <w:rFonts w:ascii="Calibri" w:hAnsi="Calibri" w:eastAsia="Calibri" w:cs="Calibri"/>
            <w:color w:val="0000CC"/>
            <w:sz w:val="22"/>
            <w:szCs w:val="22"/>
            <w:u w:val="single"/>
          </w:rPr>
          <w:t xml:space="preserve">https://doi.org/10.3390/insects10090261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SM &amp; Hulcr J (2015) </w:t>
      </w:r>
      <w:r>
        <w:rPr>
          <w:rFonts w:ascii="Calibri" w:hAnsi="Calibri" w:eastAsia="Calibri" w:cs="Calibri"/>
          <w:i/>
          <w:iCs/>
          <w:color w:val="000000"/>
          <w:sz w:val="22"/>
          <w:szCs w:val="22"/>
        </w:rPr>
        <w:t xml:space="preserve">Scolytus</w:t>
      </w:r>
      <w:r>
        <w:rPr>
          <w:rFonts w:ascii="Calibri" w:hAnsi="Calibri" w:eastAsia="Calibri" w:cs="Calibri"/>
          <w:color w:val="000000"/>
          <w:sz w:val="22"/>
          <w:szCs w:val="22"/>
        </w:rPr>
        <w:t xml:space="preserve"> and other economically important bark and ambrosia beetles. In FE Vega &amp; RW Hofstetter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(pp. 495–531). Academic Press. </w:t>
      </w:r>
      <w:hyperlink r:id="rId59556805194495b59" w:history="1">
        <w:r>
          <w:rPr>
            <w:rFonts w:ascii="Calibri" w:hAnsi="Calibri" w:eastAsia="Calibri" w:cs="Calibri"/>
            <w:color w:val="0000CC"/>
            <w:sz w:val="22"/>
            <w:szCs w:val="22"/>
            <w:u w:val="single"/>
          </w:rPr>
          <w:t xml:space="preserve">https://doi.org/10.1016/B978-0-12-417156-5.00012-5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Euwallacea fornicatus</w:t>
      </w:r>
      <w:r>
        <w:rPr>
          <w:rFonts w:ascii="Calibri" w:hAnsi="Calibri" w:eastAsia="Calibri" w:cs="Calibri"/>
          <w:color w:val="000000"/>
          <w:sz w:val="22"/>
          <w:szCs w:val="22"/>
        </w:rPr>
        <w:t xml:space="preserve">: </w:t>
      </w:r>
      <w:hyperlink r:id="rId36906805194495bd1" w:history="1">
        <w:r>
          <w:rPr>
            <w:rFonts w:ascii="Calibri" w:hAnsi="Calibri" w:eastAsia="Calibri" w:cs="Calibri"/>
            <w:color w:val="0000CC"/>
            <w:sz w:val="22"/>
            <w:szCs w:val="22"/>
            <w:u w:val="single"/>
          </w:rPr>
          <w:t xml:space="preserve">https://www.cabidigitallibrary.org/doi/10.1079/cabicompendium.18360453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Stanley Freeman, ARO, The Volcani Institute, Rison LeZion,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Fusarium euwallaceae</w:t>
      </w:r>
      <w:r>
        <w:rPr>
          <w:rFonts w:ascii="Calibri" w:hAnsi="Calibri" w:eastAsia="Calibri" w:cs="Calibri"/>
          <w:color w:val="000000"/>
          <w:sz w:val="22"/>
          <w:szCs w:val="22"/>
        </w:rPr>
        <w:t xml:space="preserve">. EPPO datasheets on pests recommended for regulation. Available online. </w:t>
      </w:r>
      <w:hyperlink r:id="rId35386805194495c8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356344" name="name65106805194495d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966805194495d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33954">
    <w:multiLevelType w:val="hybridMultilevel"/>
    <w:lvl w:ilvl="0" w:tplc="58488750">
      <w:start w:val="1"/>
      <w:numFmt w:val="decimal"/>
      <w:lvlText w:val="%1."/>
      <w:lvlJc w:val="left"/>
      <w:pPr>
        <w:ind w:left="720" w:hanging="360"/>
      </w:pPr>
    </w:lvl>
    <w:lvl w:ilvl="1" w:tplc="58488750" w:tentative="1">
      <w:start w:val="1"/>
      <w:numFmt w:val="lowerLetter"/>
      <w:lvlText w:val="%2."/>
      <w:lvlJc w:val="left"/>
      <w:pPr>
        <w:ind w:left="1440" w:hanging="360"/>
      </w:pPr>
    </w:lvl>
    <w:lvl w:ilvl="2" w:tplc="58488750" w:tentative="1">
      <w:start w:val="1"/>
      <w:numFmt w:val="lowerRoman"/>
      <w:lvlText w:val="%3."/>
      <w:lvlJc w:val="right"/>
      <w:pPr>
        <w:ind w:left="2160" w:hanging="180"/>
      </w:pPr>
    </w:lvl>
    <w:lvl w:ilvl="3" w:tplc="58488750" w:tentative="1">
      <w:start w:val="1"/>
      <w:numFmt w:val="decimal"/>
      <w:lvlText w:val="%4."/>
      <w:lvlJc w:val="left"/>
      <w:pPr>
        <w:ind w:left="2880" w:hanging="360"/>
      </w:pPr>
    </w:lvl>
    <w:lvl w:ilvl="4" w:tplc="58488750" w:tentative="1">
      <w:start w:val="1"/>
      <w:numFmt w:val="lowerLetter"/>
      <w:lvlText w:val="%5."/>
      <w:lvlJc w:val="left"/>
      <w:pPr>
        <w:ind w:left="3600" w:hanging="360"/>
      </w:pPr>
    </w:lvl>
    <w:lvl w:ilvl="5" w:tplc="58488750" w:tentative="1">
      <w:start w:val="1"/>
      <w:numFmt w:val="lowerRoman"/>
      <w:lvlText w:val="%6."/>
      <w:lvlJc w:val="right"/>
      <w:pPr>
        <w:ind w:left="4320" w:hanging="180"/>
      </w:pPr>
    </w:lvl>
    <w:lvl w:ilvl="6" w:tplc="58488750" w:tentative="1">
      <w:start w:val="1"/>
      <w:numFmt w:val="decimal"/>
      <w:lvlText w:val="%7."/>
      <w:lvlJc w:val="left"/>
      <w:pPr>
        <w:ind w:left="5040" w:hanging="360"/>
      </w:pPr>
    </w:lvl>
    <w:lvl w:ilvl="7" w:tplc="58488750" w:tentative="1">
      <w:start w:val="1"/>
      <w:numFmt w:val="lowerLetter"/>
      <w:lvlText w:val="%8."/>
      <w:lvlJc w:val="left"/>
      <w:pPr>
        <w:ind w:left="5760" w:hanging="360"/>
      </w:pPr>
    </w:lvl>
    <w:lvl w:ilvl="8" w:tplc="58488750" w:tentative="1">
      <w:start w:val="1"/>
      <w:numFmt w:val="lowerRoman"/>
      <w:lvlText w:val="%9."/>
      <w:lvlJc w:val="right"/>
      <w:pPr>
        <w:ind w:left="6480" w:hanging="180"/>
      </w:pPr>
    </w:lvl>
  </w:abstractNum>
  <w:abstractNum w:abstractNumId="44533953">
    <w:multiLevelType w:val="hybridMultilevel"/>
    <w:lvl w:ilvl="0" w:tplc="130704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33953">
    <w:abstractNumId w:val="44533953"/>
  </w:num>
  <w:num w:numId="44533954">
    <w:abstractNumId w:val="445339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7458209" Type="http://schemas.microsoft.com/office/2011/relationships/commentsExtended" Target="commentsExtended.xml"/><Relationship Id="rId582753464" Type="http://schemas.microsoft.com/office/2011/relationships/people" Target="people.xml"/><Relationship Id="rId971968051944916b7" Type="http://schemas.openxmlformats.org/officeDocument/2006/relationships/hyperlink" Target="https://gd.eppo.int/taxon/FUSAEW/" TargetMode="External"/><Relationship Id="rId17796805194491720" Type="http://schemas.openxmlformats.org/officeDocument/2006/relationships/hyperlink" Target="https://gd.eppo.int/taxon/FUSAEW/categorization" TargetMode="External"/><Relationship Id="rId153868051944948e4" Type="http://schemas.openxmlformats.org/officeDocument/2006/relationships/hyperlink" Target="https://doi.org/10.7717/peerj.2141" TargetMode="External"/><Relationship Id="rId8845680519449497c" Type="http://schemas.openxmlformats.org/officeDocument/2006/relationships/hyperlink" Target="https://doi.org/10.11646/zootaxa.5325.2.10" TargetMode="External"/><Relationship Id="rId25286805194494a2c" Type="http://schemas.openxmlformats.org/officeDocument/2006/relationships/hyperlink" Target="https://doi.org/10.1093/ee/nvaa103" TargetMode="External"/><Relationship Id="rId87856805194494aca" Type="http://schemas.openxmlformats.org/officeDocument/2006/relationships/hyperlink" Target="https://doi.org/10.1016/j.simyco.2021.100116" TargetMode="External"/><Relationship Id="rId81206805194494b59" Type="http://schemas.openxmlformats.org/officeDocument/2006/relationships/hyperlink" Target="https://doi.org/10.1111/ppa.13600" TargetMode="External"/><Relationship Id="rId93316805194494bc9" Type="http://schemas.openxmlformats.org/officeDocument/2006/relationships/hyperlink" Target="https://pra.eppo.int/pra/4880c445-9ca7-485a-9e3a-edde73e472fa" TargetMode="External"/><Relationship Id="rId53186805194494c65" Type="http://schemas.openxmlformats.org/officeDocument/2006/relationships/hyperlink" Target="https://gd.eppo.int/taxon/EUWAWH" TargetMode="External"/><Relationship Id="rId40706805194494d18" Type="http://schemas.openxmlformats.org/officeDocument/2006/relationships/hyperlink" Target="https://doi.org/10.1094/PDIS-03-12-0276-PDN" TargetMode="External"/><Relationship Id="rId80646805194494d8d" Type="http://schemas.openxmlformats.org/officeDocument/2006/relationships/hyperlink" Target="https://doi.org/10.1094/PDIS-11-12-1026-RE" TargetMode="External"/><Relationship Id="rId48576805194494f38" Type="http://schemas.openxmlformats.org/officeDocument/2006/relationships/hyperlink" Target="https://doi.org/10.3852/13-066" TargetMode="External"/><Relationship Id="rId67486805194494fc9" Type="http://schemas.openxmlformats.org/officeDocument/2006/relationships/hyperlink" Target="https://doi.org/10.1016/j.aspen.2019.01.013" TargetMode="External"/><Relationship Id="rId3578680519449507a" Type="http://schemas.openxmlformats.org/officeDocument/2006/relationships/hyperlink" Target="https://doi.org/10.1093/jee/toy423" TargetMode="External"/><Relationship Id="rId6029680519449517a" Type="http://schemas.openxmlformats.org/officeDocument/2006/relationships/hyperlink" Target="https://doi.org/10.1093/jee/tov169" TargetMode="External"/><Relationship Id="rId21516805194495305" Type="http://schemas.openxmlformats.org/officeDocument/2006/relationships/hyperlink" Target="https://doi.org/10.3852/15-063" TargetMode="External"/><Relationship Id="rId92446805194495398" Type="http://schemas.openxmlformats.org/officeDocument/2006/relationships/hyperlink" Target="https://doi.org/10.3389/ffgc.2021.654702" TargetMode="External"/><Relationship Id="rId9553680519449543b" Type="http://schemas.openxmlformats.org/officeDocument/2006/relationships/hyperlink" Target="https://doi.org/10.1007/s12600-017-0598-6" TargetMode="External"/><Relationship Id="rId176368051944954ec" Type="http://schemas.openxmlformats.org/officeDocument/2006/relationships/hyperlink" Target="https://doi.org/10.1007/s12600-012-0223-7" TargetMode="External"/><Relationship Id="rId381568051944955be" Type="http://schemas.openxmlformats.org/officeDocument/2006/relationships/hyperlink" Target="https://doi.org/10.1128/mSphere.00810-20" TargetMode="External"/><Relationship Id="rId56666805194495651" Type="http://schemas.openxmlformats.org/officeDocument/2006/relationships/hyperlink" Target="https://doi:%2010.1016/j.fgb.2014.10.014" TargetMode="External"/><Relationship Id="rId60686805194495762" Type="http://schemas.openxmlformats.org/officeDocument/2006/relationships/hyperlink" Target="https://doi.org/10.1094/PDIS-09-21-2035-SR" TargetMode="External"/><Relationship Id="rId781968051944957f4" Type="http://schemas.openxmlformats.org/officeDocument/2006/relationships/hyperlink" Target="https://doi.org/10.1007/s13313-018-0545-0" TargetMode="External"/><Relationship Id="rId98056805194495864" Type="http://schemas.openxmlformats.org/officeDocument/2006/relationships/hyperlink" Target="https://doi.org/10.17159/sajs.2020/8757" TargetMode="External"/><Relationship Id="rId683968051944958f7" Type="http://schemas.openxmlformats.org/officeDocument/2006/relationships/hyperlink" Target="https://doi.org/10.7717/peerj.9987" TargetMode="External"/><Relationship Id="rId99426805194495987" Type="http://schemas.openxmlformats.org/officeDocument/2006/relationships/hyperlink" Target="https://doi.org/10.1007/s10530-022-02929-w" TargetMode="External"/><Relationship Id="rId44256805194495a38" Type="http://schemas.openxmlformats.org/officeDocument/2006/relationships/hyperlink" Target="https://doi.org/10.1094/PDIS-07-16-1046-RE" TargetMode="External"/><Relationship Id="rId42956805194495ae8" Type="http://schemas.openxmlformats.org/officeDocument/2006/relationships/hyperlink" Target="https://doi.org/10.3390/insects10090261" TargetMode="External"/><Relationship Id="rId59556805194495b59" Type="http://schemas.openxmlformats.org/officeDocument/2006/relationships/hyperlink" Target="https://doi.org/10.1016/B978-0-12-417156-5.00012-5" TargetMode="External"/><Relationship Id="rId36906805194495bd1" Type="http://schemas.openxmlformats.org/officeDocument/2006/relationships/hyperlink" Target="https://www.cabidigitallibrary.org/doi/10.1079/cabicompendium.18360453" TargetMode="External"/><Relationship Id="rId35386805194495c84" Type="http://schemas.openxmlformats.org/officeDocument/2006/relationships/hyperlink" Target="https://gd.eppo.int" TargetMode="External"/><Relationship Id="rId62206805194493b55" Type="http://schemas.openxmlformats.org/officeDocument/2006/relationships/image" Target="media/imgrId62206805194493b55.jpg"/><Relationship Id="rId17966805194495d76" Type="http://schemas.openxmlformats.org/officeDocument/2006/relationships/image" Target="media/imgrId17966805194495d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