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Gilpinia hercyniae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Gilpinia hercyniae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(Hartig)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Diprionidae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Diprion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Diprion polytoma</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Gilpinia polytoma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Lophyrus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Lophyrus polytomos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spruce sawfly</w:t>
            </w:r>
            <w:hyperlink r:id="rId17846803f49da792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78876803f49da796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GILPPO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54243" name="name55686803f49da84ec" descr="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jpg"/>
                          <pic:cNvPicPr/>
                        </pic:nvPicPr>
                        <pic:blipFill>
                          <a:blip r:embed="rId10076803f49da84e9" cstate="print"/>
                          <a:stretch>
                            <a:fillRect/>
                          </a:stretch>
                        </pic:blipFill>
                        <pic:spPr>
                          <a:xfrm>
                            <a:off x="0" y="0"/>
                            <a:ext cx="2160000" cy="1281600"/>
                          </a:xfrm>
                          <a:prstGeom prst="rect">
                            <a:avLst/>
                          </a:prstGeom>
                          <a:ln w="0">
                            <a:noFill/>
                          </a:ln>
                        </pic:spPr>
                      </pic:pic>
                    </a:graphicData>
                  </a:graphic>
                </wp:inline>
              </w:drawing>
            </w:r>
            <w:hyperlink r:id="rId95226803f49da869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Considerable confusion has occurred regarding the taxonomy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(Adams and Entwistle 1981). Hartig first described </w:t>
      </w:r>
      <w:r>
        <w:rPr>
          <w:rFonts w:ascii="Calibri" w:hAnsi="Calibri" w:eastAsia="Calibri" w:cs="Calibri"/>
          <w:i/>
          <w:iCs/>
          <w:color w:val="000000"/>
          <w:sz w:val="22"/>
          <w:szCs w:val="22"/>
        </w:rPr>
        <w:t xml:space="preserve">Lophyrus polytomus</w:t>
      </w:r>
      <w:r>
        <w:rPr>
          <w:rFonts w:ascii="Calibri" w:hAnsi="Calibri" w:eastAsia="Calibri" w:cs="Calibri"/>
          <w:color w:val="000000"/>
          <w:sz w:val="22"/>
          <w:szCs w:val="22"/>
        </w:rPr>
        <w:t xml:space="preserve"> in 1834, and then </w:t>
      </w:r>
      <w:r>
        <w:rPr>
          <w:rFonts w:ascii="Calibri" w:hAnsi="Calibri" w:eastAsia="Calibri" w:cs="Calibri"/>
          <w:i/>
          <w:iCs/>
          <w:color w:val="000000"/>
          <w:sz w:val="22"/>
          <w:szCs w:val="22"/>
        </w:rPr>
        <w:t xml:space="preserve">Lophyrus hercyniae</w:t>
      </w:r>
      <w:r>
        <w:rPr>
          <w:rFonts w:ascii="Calibri" w:hAnsi="Calibri" w:eastAsia="Calibri" w:cs="Calibri"/>
          <w:color w:val="000000"/>
          <w:sz w:val="22"/>
          <w:szCs w:val="22"/>
        </w:rPr>
        <w:t xml:space="preserve"> in 1837 as two distinct spruce-feeding sawfly species in Europe. In 1910, both species were moved to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but many authors continued to use </w:t>
      </w:r>
      <w:r>
        <w:rPr>
          <w:rFonts w:ascii="Calibri" w:hAnsi="Calibri" w:eastAsia="Calibri" w:cs="Calibri"/>
          <w:i/>
          <w:iCs/>
          <w:color w:val="000000"/>
          <w:sz w:val="22"/>
          <w:szCs w:val="22"/>
        </w:rPr>
        <w:t xml:space="preserve">Lophyrus</w:t>
      </w:r>
      <w:r>
        <w:rPr>
          <w:rFonts w:ascii="Calibri" w:hAnsi="Calibri" w:eastAsia="Calibri" w:cs="Calibri"/>
          <w:color w:val="000000"/>
          <w:sz w:val="22"/>
          <w:szCs w:val="22"/>
        </w:rPr>
        <w:t xml:space="preserve">. In 1912, a different author synonymized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under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Then in 1939, Benson erected a new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under which he listed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but did not recognize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Soon thereafter, Reeks (1941) and Smith (1941), using cytological and morphological evidence, demonstrated that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were distinct species, and that the species introduced into North America in the early 1900s was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For several years, some authors used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while others used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Finally, in Smith’s (1974) list of the Diprionidae of the world, he recognized both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as distinct species. Therefore, in the early literature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will be found under many scientific names and often confused with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There are two other European spruce-feeding sawflies in the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abieticola</w:t>
      </w:r>
      <w:r>
        <w:rPr>
          <w:rFonts w:ascii="Calibri" w:hAnsi="Calibri" w:eastAsia="Calibri" w:cs="Calibri"/>
          <w:color w:val="000000"/>
          <w:sz w:val="22"/>
          <w:szCs w:val="22"/>
        </w:rPr>
        <w:t xml:space="preserve"> (Dalla Torre) and </w:t>
      </w:r>
      <w:r>
        <w:rPr>
          <w:rFonts w:ascii="Calibri" w:hAnsi="Calibri" w:eastAsia="Calibri" w:cs="Calibri"/>
          <w:i/>
          <w:iCs/>
          <w:color w:val="000000"/>
          <w:sz w:val="22"/>
          <w:szCs w:val="22"/>
        </w:rPr>
        <w:t xml:space="preserve">G. fennica</w:t>
      </w:r>
      <w:r>
        <w:rPr>
          <w:rFonts w:ascii="Calibri" w:hAnsi="Calibri" w:eastAsia="Calibri" w:cs="Calibri"/>
          <w:color w:val="000000"/>
          <w:sz w:val="22"/>
          <w:szCs w:val="22"/>
        </w:rPr>
        <w:t xml:space="preserve"> (Forsius) (Smith, 1974; Holuša &amp; Roller,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occurs primarily on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On rare occasions, larvae have been observed feeding on species of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when spruce foliage is limiting during outbreaks (Browne, 1968; Schedl, 1975).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published records, several additional North American field-collected specimens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have been documented in university and government insect collections in both Canada and the United States, as well as verified from photographs submitted to BugGuide.net and iNaturalist.org by Dr. David R. Smith, a world sawfly expert. These locations include the Canadian province of Alberta, and the US states of Georgia, Iowa, Maryland, Michigan, Minnesota, North Carolina, Ohio, Pennsylvania, Tennessee, and West Virginia. There was also a published report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the Canadian province of British Columbia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that particular specimen cannot be found for verification.</w:t>
      </w:r>
    </w:p>
    <w:p>
      <w:r>
        <w:drawing>
          <wp:inline distT="0" distB="0" distL="0" distR="0">
            <wp:extent cx="6120000" cy="3067200"/>
            <wp:docPr id="55653745" name="name85376803f49da9e9b" descr="GILPP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LPPO_distribution_map.jpg"/>
                    <pic:cNvPicPr/>
                  </pic:nvPicPr>
                  <pic:blipFill>
                    <a:blip r:embed="rId23186803f49da9e9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Denmark, Estonia, Finland, France (mainland), Germany, Hungary, Italy (mainland), Latvia, Lithuania, Luxembourg, Netherlands, Norway, Poland, Romania, Russian Federation (the) (Central Russia, Eastern Siberia, Far East, Northern Russia, Southern Russia, Western Siberia), Slovakia, Sweden, Switzerland, United Kingdom (England,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Korea, Democratic People's Republic of, Korea, Republic of, Mongolia,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(Connecticut, Maine, Massachusetts, New Hampshire, New Jersey, New York, Vermont,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An annotated bibliography of the literature dealing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up to 1979 was published by Adams and Entwistle (1981).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overwinters as a prepupa (eonymph 6th) in a cocoon that it spins on the forest floor under leaf litter or moss. Pupation starts in early spring with adults emerging in early summer. Depending on the length of the summer season and temperatures, there are usually one or two generations per year; however, three generations have been recorded in the southern part of the insect’s range (MacAloney, 1936; Balch, 1939; Prebble, 1941). The sex ratio is highly female biased at about 1 male to 1200 females (Balch, 1939). The species is mainly parthenogenetic, producing diploid females from unfertilized eggs (thelytoky) (Balch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Smith, 1941). Adults are strong flyers (Balch, 1939). Females start ovipositing soon after emergence and usually lay 30–60 eggs (Prebble, 1941; Thalenhorst, 1968). Eggs are inserted singly in old needles via a slit which is cut in the needle using the ovipositor. Eggs hatch in approximately 10 days (Balch, 1939). Larvae feed singly and mostly on 1–3-year-old foliage (Jensen 1988). New foliage may be avoided by first-generation larvae because of high levels of some secondary compounds (Jensen, 1988). Second and third generation larvae may feed on old as well as current-year needles, especially in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(Balch, 1939). Larvae pass through six instars in about one month (MacAloney, 1936). The sixth instar does not feed, but instead drops to the forest floor (MacAloney, 1936; Balch, 1939). Depending on local conditions, pupation may be completed in 2-4 weeks with new adults beginning the next generation while other prepupae undergo diapause. Some individuals remain in extended diapause for as many as 6 years, although 2-3 years is more common (MacAloney, 1936; Balch, 1939).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occurs first on older needles, usually starting at the tip. Larval fecal pellets (frass) often accumulate on foliage and on the forest floor beneath infested trees. The individual fecal pellets of older larvae are about 2 x 1 mm in size, green at first but turning reddish brown with age (Morris, 1942). Larval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found most often during the summer months, especially fourth and fifth instars that have a brownish head capsule, green body, and five white longitudinal stripes (Wilson,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pale green, elongate oval, and about 1.9 mm long and 0.5 mm wide (Billany, 1978). Eggs are inserted near the center of a needle, one egg per needle. Females oviposit throughout the crown, selecting mostly 1-year-old needles for oviposition (Balch, 1939; Billany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There is a distinct bulge in the needle where the egg is inserted.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six larval instars: the first five instars actively feed whereas the sixth is nonfeeding and spins a cocoon. Larval length increases from about 3 mm in first instars to about 15-20 mm in fifth and sixth instars (Lorenz &amp; Kraus, 1957; Wong &amp; Szlabey, 1986). First to third instar larvae are green and lack longitudinal stripes. Fourth and fifth instars have five white longitudinal stripes along their abdomen. The sixth instar lacks stripes. Abdominal prolegs are found on segments 2-8 and 10. The three pairs of thoracic legs are brown to black. Spiracles are light brown. The head capsule is mainly black in first instars, brownish in second to fifth instars, and green in sixth instars. Head capsules have a dark triangular patch (Wong &amp; Szlabey, 1986). Keys to larvae of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species are available for Europe (Benes &amp; Kristek, 1979) and North America (Wong &amp; Szlabey, 1986)</w:t>
      </w:r>
    </w:p>
    <w:p>
      <w:pPr>
        <w:widowControl w:val="on"/>
        <w:pBdr/>
        <w:spacing w:before="220" w:after="220" w:line="240" w:lineRule="auto"/>
        <w:ind w:left="0" w:right="0"/>
        <w:jc w:val="both"/>
      </w:pPr>
      <w:r>
        <w:rPr>
          <w:rFonts w:ascii="Calibri" w:hAnsi="Calibri" w:eastAsia="Calibri" w:cs="Calibri"/>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cocoon is spun in the leaf litter layer by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 The cocoon is finely textured, reddish brown, cylindrical with rounded ends, 8-9 mm long and 4 mm wide (Billany,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Reeks (1941) separated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based on morphological differences of the genitalia. Additional characters of the head and antenna were used by Goulet (1981) to separate these two species. Adult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females are stout-bodied, 6.0-9.5 mm long, with serrate antennae. Head and body are black with many yellow markings and bands as described in Reeks (1941), Benson (1951), and Billany (1978). Adult males are 4.0-8.5 mm long, with pectinate antennae, and are mostly black on the upper thorax and abdomen with yellow lateral markings as described in Reeks (1941) and Benson (1951).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and adults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the life stages which are most likely to be found in the field. However, at low populations, detection is difficult because larvae feed singly on older needles and adult females often oviposit in the upper crown. Larvae can be collected by beating the branches over a sheet or tray (Martineau, 1943; Thalenhorst, 1960; Neilson &amp; Morris, 1964). Techniques such as collecting frass as it falls to the ground from infested trees or collecting sawfly cocoons on the forest floor have been used to monitor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 fluctuations (Martineau, 1943; Prebble, 1943; Morris, 1949). During outbreaks, the degree of defoliation can be estimated at the tree and stand level (Martineau, 1943).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adults are strong fliers and can be carried several kilometers by air currents (Balch, 1939). Given that females are parthenogenetic, a single female can initiate a new population. All immature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can be transported to new areas by artificial means. For example, eggs and larvae can be transported on live plants or branch cuttings. For potted nursery stock infested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mature larvae could drop into the soil in the container and pupate. Although less likely, mature larvae could drop onto vehicles and other equipment and spin cocoons, and then be transported to new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of little significance throughout its native range of Eurasia as well as in its introduced range of North America. Historically, outbreaks have occurred in Canada (Balch, 1939; Neilson &amp; Morris, 1964), the United States (MacAloney, 1936: Baldwin, 1939; Dowden, 1939; Reeks and Barter, 1951), and Wales (UK) (Billany &amp; Brown, 1977; Bevan, 1987) following the introduction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without its natural enemies. During these outbreaks, usually after consecutive years of defoliation, spruce trees of various species have shown reduced growth rates, crown dieback, and at times widespread tree mortality (Balch, 1939; Martineau, 1943; Reeks &amp; Barter, 1951; Billany, 1978;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have not been necessary for </w:t>
      </w:r>
      <w:r>
        <w:rPr>
          <w:rFonts w:ascii="Calibri" w:hAnsi="Calibri" w:eastAsia="Calibri" w:cs="Calibri"/>
          <w:i/>
          <w:iCs/>
          <w:color w:val="000000"/>
          <w:sz w:val="22"/>
          <w:szCs w:val="22"/>
        </w:rPr>
        <w:t xml:space="preserve">G. hercyniae </w:t>
      </w:r>
      <w:r>
        <w:rPr>
          <w:rFonts w:ascii="Calibri" w:hAnsi="Calibri" w:eastAsia="Calibri" w:cs="Calibri"/>
          <w:color w:val="000000"/>
          <w:sz w:val="22"/>
          <w:szCs w:val="22"/>
        </w:rPr>
        <w:t xml:space="preserve">in its native range due to the presence of natural enemies. In its introduced range, large-scale biological control programs were successful in controlling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The first outbreaks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in North America occurred in Eastern Canada and the adjacent United States in the early 1930s. Given low parasitism rates in the infested areas by native natural enemies (Balch, 1939), about 25 different parasitoids were selected, primarily from Europe, reared, and released during the 1930s and early 1940s in both countries, totaling over a billion individuals released (Dowden, 1962;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Several of these parasitoids became established, with some effective at high sawfly densities and others at low sawfly densities (Reeks, 1953;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During the 1930s, a viral disease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larvae was first noted in 1936 in laboratory colonies in Canada and then in field populations in 1938 (Balch and Bird, 1944). The virus was apparently introduced to Canada on parasitoid shipments from Europe. Over the next few years, this nuclear polyhedrosis virus was largely responsible for the collapse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in North America (Bird &amp; Elgee, 1957; Neilson &amp; Morris, 1964; Magasi &amp; Syme, 1981; van Frankenhuyzen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Similarly, in Wales, the same virus entered the country and controlled populations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especially where the sawfly was found at high levels. The virus is dispersed by birds after eating infected larvae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by adult sawflies (Buse, 1977). Currently, the virus and parasitoids have kept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at low levels in North America and Wales (Magasi &amp; Syme, 1981;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an EU listed Protected Zone Quarantine Pest (Annex III) for Greece, Ireland and the United Kingdom (Northern Ireland). It is widely distributed throughout the range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in the EPPO region (where it is not a serious pest) but can cause severe defoliation and tree mortality when it moves to areas where it has no natural enemies. Currently, its population levels are well controlled by natural enemies, both within and outside of its natural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entering a protected zone (as detailed above) should be accompanied with an official statement that the plants have been produced in nurseries and that the place of production is free from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PHW &amp; Entwistle PF (1981) An annotated bibliography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Commonwealth Forestry Institute, Occasional Papers 11. 58 pp.</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(1939) The outbreak of the European spruce sawfly in Canada and some important features of its bionomics.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412-418.</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&amp; Birds FT (1944) A disease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and its place in natural control.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65-80.</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Reeks WA &amp; Smith SG (1941) Separation of the European spruce sawfly in America from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(Diprionidae, Hymenoptera) and evidence of its introduction.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198-203.</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HI (1939) The European spruce sawfly in New Hampshire 1938.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876-878.</w:t>
      </w:r>
    </w:p>
    <w:p>
      <w:pPr>
        <w:widowControl w:val="on"/>
        <w:pBdr/>
        <w:spacing w:before="220" w:after="220" w:line="240" w:lineRule="auto"/>
        <w:ind w:left="0" w:right="0"/>
        <w:jc w:val="left"/>
      </w:pPr>
      <w:r>
        <w:rPr>
          <w:rFonts w:ascii="Calibri" w:hAnsi="Calibri" w:eastAsia="Calibri" w:cs="Calibri"/>
          <w:color w:val="000000"/>
          <w:sz w:val="22"/>
          <w:szCs w:val="22"/>
        </w:rPr>
        <w:t xml:space="preserve">Benes K &amp; Kristek J (1979) Present state of taxonomy of European species of the families Pamphiliidae, Diprionidae, and Tenthredinidae (Hymenoptera, Symphyta) feeding on spruce. </w:t>
      </w:r>
      <w:r>
        <w:rPr>
          <w:rFonts w:ascii="Calibri" w:hAnsi="Calibri" w:eastAsia="Calibri" w:cs="Calibri"/>
          <w:i/>
          <w:iCs/>
          <w:color w:val="000000"/>
          <w:sz w:val="22"/>
          <w:szCs w:val="22"/>
        </w:rPr>
        <w:t xml:space="preserve">Acta Universitatis Agriculturae Brno, C (Facultas Silviculturae)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77-118.</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(1939) On the genera of the Diprionidae (Hymenoptera Symphyta).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339-342.</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(1951) Hymenoptera: Symphyta. </w:t>
      </w:r>
      <w:r>
        <w:rPr>
          <w:rFonts w:ascii="Calibri" w:hAnsi="Calibri" w:eastAsia="Calibri" w:cs="Calibri"/>
          <w:i/>
          <w:iCs/>
          <w:color w:val="000000"/>
          <w:sz w:val="22"/>
          <w:szCs w:val="22"/>
        </w:rPr>
        <w:t xml:space="preserve">Handbooks for the identification of British insects</w:t>
      </w:r>
      <w:r>
        <w:rPr>
          <w:rFonts w:ascii="Calibri" w:hAnsi="Calibri" w:eastAsia="Calibri" w:cs="Calibri"/>
          <w:color w:val="000000"/>
          <w:sz w:val="22"/>
          <w:szCs w:val="22"/>
        </w:rPr>
        <w:t xml:space="preserve"> No. VI. 2(a). Royal Entomological Society,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Bevan D (1987) </w:t>
      </w:r>
      <w:r>
        <w:rPr>
          <w:rFonts w:ascii="Calibri" w:hAnsi="Calibri" w:eastAsia="Calibri" w:cs="Calibri"/>
          <w:i/>
          <w:iCs/>
          <w:color w:val="000000"/>
          <w:sz w:val="22"/>
          <w:szCs w:val="22"/>
        </w:rPr>
        <w:t xml:space="preserve">Forest insects: a guide to insects feeding on trees in Britain</w:t>
      </w:r>
      <w:r>
        <w:rPr>
          <w:rFonts w:ascii="Calibri" w:hAnsi="Calibri" w:eastAsia="Calibri" w:cs="Calibri"/>
          <w:color w:val="000000"/>
          <w:sz w:val="22"/>
          <w:szCs w:val="22"/>
        </w:rPr>
        <w:t xml:space="preserve">. Forestry Commission Handbook, UK, No. 1. 153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(1978)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 pest of spruce. </w:t>
      </w:r>
      <w:r>
        <w:rPr>
          <w:rFonts w:ascii="Calibri" w:hAnsi="Calibri" w:eastAsia="Calibri" w:cs="Calibri"/>
          <w:i/>
          <w:iCs/>
          <w:color w:val="000000"/>
          <w:sz w:val="22"/>
          <w:szCs w:val="22"/>
        </w:rPr>
        <w:t xml:space="preserve">Forestry Commission Forest Record</w:t>
      </w:r>
      <w:r>
        <w:rPr>
          <w:rFonts w:ascii="Calibri" w:hAnsi="Calibri" w:eastAsia="Calibri" w:cs="Calibri"/>
          <w:color w:val="000000"/>
          <w:sz w:val="22"/>
          <w:szCs w:val="22"/>
        </w:rPr>
        <w:t xml:space="preserve"> No. 117. HMSO, London, UK. 11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&amp; Brown RM (1977) The geographical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in the United Kingdom.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Borden JH &amp; Brown RM (1978)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eggs within Sitka spruce trees.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67-72.</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Carter CI, Winter TG &amp; Fielding NJ (1983) The effects of climate and parasites on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(Hym: Diprionidae) in Britain.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117-120.</w:t>
      </w:r>
    </w:p>
    <w:p>
      <w:pPr>
        <w:widowControl w:val="on"/>
        <w:pBdr/>
        <w:spacing w:before="220" w:after="220" w:line="240" w:lineRule="auto"/>
        <w:ind w:left="0" w:right="0"/>
        <w:jc w:val="left"/>
      </w:pPr>
      <w:r>
        <w:rPr>
          <w:rFonts w:ascii="Calibri" w:hAnsi="Calibri" w:eastAsia="Calibri" w:cs="Calibri"/>
          <w:color w:val="000000"/>
          <w:sz w:val="22"/>
          <w:szCs w:val="22"/>
        </w:rPr>
        <w:t xml:space="preserve">Bird F &amp; Elgee D (1957) A virus disease and introduced parasites as factors controlling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in central New Brunswick.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371-378. </w:t>
      </w:r>
    </w:p>
    <w:p>
      <w:pPr>
        <w:widowControl w:val="on"/>
        <w:pBdr/>
        <w:spacing w:before="220" w:after="220" w:line="240" w:lineRule="auto"/>
        <w:ind w:left="0" w:right="0"/>
        <w:jc w:val="left"/>
      </w:pPr>
      <w:r>
        <w:rPr>
          <w:rFonts w:ascii="Calibri" w:hAnsi="Calibri" w:eastAsia="Calibri" w:cs="Calibri"/>
          <w:color w:val="000000"/>
          <w:sz w:val="22"/>
          <w:szCs w:val="22"/>
        </w:rPr>
        <w:t xml:space="preserve">Browne FG (1968) </w:t>
      </w:r>
      <w:r>
        <w:rPr>
          <w:rFonts w:ascii="Calibri" w:hAnsi="Calibri" w:eastAsia="Calibri" w:cs="Calibri"/>
          <w:i/>
          <w:iCs/>
          <w:color w:val="000000"/>
          <w:sz w:val="22"/>
          <w:szCs w:val="22"/>
        </w:rPr>
        <w:t xml:space="preserve">Pests and diseases of forest plantation trees: an annotated list of the principal species occurring in the British Commonwealth</w:t>
      </w:r>
      <w:r>
        <w:rPr>
          <w:rFonts w:ascii="Calibri" w:hAnsi="Calibri" w:eastAsia="Calibri" w:cs="Calibri"/>
          <w:color w:val="000000"/>
          <w:sz w:val="22"/>
          <w:szCs w:val="22"/>
        </w:rPr>
        <w:t xml:space="preserve">. Oxford, UK: Clarendon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Buse A (1977) The importance of birds in the dispersal of nuclear polyhydrosis virus of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in mid Wales.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191-199.</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(1939) Present status of the European spruce sawfly, </w:t>
      </w:r>
      <w:r>
        <w:rPr>
          <w:rFonts w:ascii="Calibri" w:hAnsi="Calibri" w:eastAsia="Calibri" w:cs="Calibri"/>
          <w:i/>
          <w:iCs/>
          <w:color w:val="000000"/>
          <w:sz w:val="22"/>
          <w:szCs w:val="22"/>
        </w:rPr>
        <w:t xml:space="preserve">Diprion polytomum</w:t>
      </w:r>
      <w:r>
        <w:rPr>
          <w:rFonts w:ascii="Calibri" w:hAnsi="Calibri" w:eastAsia="Calibri" w:cs="Calibri"/>
          <w:color w:val="000000"/>
          <w:sz w:val="22"/>
          <w:szCs w:val="22"/>
        </w:rPr>
        <w:t xml:space="preserve"> (Htg). in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619-624.</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(1962) </w:t>
      </w:r>
      <w:r>
        <w:rPr>
          <w:rFonts w:ascii="Calibri" w:hAnsi="Calibri" w:eastAsia="Calibri" w:cs="Calibri"/>
          <w:i/>
          <w:iCs/>
          <w:color w:val="000000"/>
          <w:sz w:val="22"/>
          <w:szCs w:val="22"/>
        </w:rPr>
        <w:t xml:space="preserve">Parasites and predators of forest insects liberated in the United States through 1960.</w:t>
      </w:r>
      <w:r>
        <w:rPr>
          <w:rFonts w:ascii="Calibri" w:hAnsi="Calibri" w:eastAsia="Calibri" w:cs="Calibri"/>
          <w:color w:val="000000"/>
          <w:sz w:val="22"/>
          <w:szCs w:val="22"/>
        </w:rPr>
        <w:t xml:space="preserve"> US Department of Agriculture, Forest Service, Agriculture Handbook, No. 226. US Government Printing Office, Washington, DC. 70 pp.</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&amp; Evans HF (1977) Epizootiology of a nuclear polyhydrosis virus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birds as dispersal agents of the virus during winter.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Evans HF, &amp; Rivers CF (1983) Epizootiology of a nuclear polyhedrosis virus (Baculoviridae)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spread of disease from small epicentres in comparison with spread of baculovirus diseases in other hosts.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473-487.</w:t>
      </w:r>
    </w:p>
    <w:p>
      <w:pPr>
        <w:widowControl w:val="on"/>
        <w:pBdr/>
        <w:spacing w:before="220" w:after="220" w:line="240" w:lineRule="auto"/>
        <w:ind w:left="0" w:right="0"/>
        <w:jc w:val="left"/>
      </w:pPr>
      <w:r>
        <w:rPr>
          <w:rFonts w:ascii="Calibri" w:hAnsi="Calibri" w:eastAsia="Calibri" w:cs="Calibri"/>
          <w:color w:val="000000"/>
          <w:sz w:val="22"/>
          <w:szCs w:val="22"/>
        </w:rPr>
        <w:t xml:space="preserve">Goulet H (1981) New external distinguishing characters for the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769-771.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Roller L (2004) Notes to distribution and seasonal activity of spruce diprionids (Hymenoptera: Diprionidae) in the eastern part of the Czech Republic. Journal of Forest Science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579-585.</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TS (1988) Variability of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needles; performance of spruce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w:t>
      </w:r>
      <w:r>
        <w:rPr>
          <w:rFonts w:ascii="Calibri" w:hAnsi="Calibri" w:eastAsia="Calibri" w:cs="Calibri"/>
          <w:i/>
          <w:iCs/>
          <w:color w:val="000000"/>
          <w:sz w:val="22"/>
          <w:szCs w:val="22"/>
        </w:rPr>
        <w:t xml:space="preserve">Oecologia (Berlin)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313-320.</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Cameron EK, MacQuarrie CJ, McBeath A, McClay A, Peter B, Pybus M, Ramsfield T, Ryall K, Scarr T &amp; Yemshanov D (2014) Non-native species in Canada’s boreal zone: diversity, impacts, and risk. Environmental Reviews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372-420. Lorenz H &amp; Kraus M (1957) </w:t>
      </w:r>
      <w:r>
        <w:rPr>
          <w:rFonts w:ascii="Calibri" w:hAnsi="Calibri" w:eastAsia="Calibri" w:cs="Calibri"/>
          <w:i/>
          <w:iCs/>
          <w:color w:val="000000"/>
          <w:sz w:val="22"/>
          <w:szCs w:val="22"/>
        </w:rPr>
        <w:t xml:space="preserve">Die Larvalsystematik der Blattwespen (Tenthredinoidea und Megalodontoidea). Abhandlungen zur Larvalsystematik der Insecten</w:t>
      </w:r>
      <w:r>
        <w:rPr>
          <w:rFonts w:ascii="Calibri" w:hAnsi="Calibri" w:eastAsia="Calibri" w:cs="Calibri"/>
          <w:color w:val="000000"/>
          <w:sz w:val="22"/>
          <w:szCs w:val="22"/>
        </w:rPr>
        <w:t xml:space="preserve">. Vol. 1. Akademie-Verlag, Berlin, Germany. 339 pp.</w:t>
      </w:r>
    </w:p>
    <w:p>
      <w:pPr>
        <w:widowControl w:val="on"/>
        <w:pBdr/>
        <w:spacing w:before="220" w:after="220" w:line="240" w:lineRule="auto"/>
        <w:ind w:left="0" w:right="0"/>
        <w:jc w:val="left"/>
      </w:pPr>
      <w:r>
        <w:rPr>
          <w:rFonts w:ascii="Calibri" w:hAnsi="Calibri" w:eastAsia="Calibri" w:cs="Calibri"/>
          <w:color w:val="000000"/>
          <w:sz w:val="22"/>
          <w:szCs w:val="22"/>
        </w:rPr>
        <w:t xml:space="preserve">MacAloney HJ (1936) The European spruce sawfly in the USA.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125-129.</w:t>
      </w:r>
    </w:p>
    <w:p>
      <w:pPr>
        <w:widowControl w:val="on"/>
        <w:pBdr/>
        <w:spacing w:before="220" w:after="220" w:line="240" w:lineRule="auto"/>
        <w:ind w:left="0" w:right="0"/>
        <w:jc w:val="left"/>
      </w:pPr>
      <w:r>
        <w:rPr>
          <w:rFonts w:ascii="Calibri" w:hAnsi="Calibri" w:eastAsia="Calibri" w:cs="Calibri"/>
          <w:color w:val="000000"/>
          <w:sz w:val="22"/>
          <w:szCs w:val="22"/>
        </w:rPr>
        <w:t xml:space="preserve">MacQuarrie CJ, Lyons DB, Seehausen ML &amp; Smith SM (2016) A history of biological control in Canadian forests, 1882–2014.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S239-S269.</w:t>
      </w:r>
    </w:p>
    <w:p>
      <w:pPr>
        <w:widowControl w:val="on"/>
        <w:pBdr/>
        <w:spacing w:before="220" w:after="220" w:line="240" w:lineRule="auto"/>
        <w:ind w:left="0" w:right="0"/>
        <w:jc w:val="left"/>
      </w:pPr>
      <w:r>
        <w:rPr>
          <w:rFonts w:ascii="Calibri" w:hAnsi="Calibri" w:eastAsia="Calibri" w:cs="Calibri"/>
          <w:color w:val="000000"/>
          <w:sz w:val="22"/>
          <w:szCs w:val="22"/>
        </w:rPr>
        <w:t xml:space="preserve">Magasi LP &amp; Syme PD (1981)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(Hymenoptera: Diprionidae). Pp 295-298 In: </w:t>
      </w:r>
      <w:r>
        <w:rPr>
          <w:rFonts w:ascii="Calibri" w:hAnsi="Calibri" w:eastAsia="Calibri" w:cs="Calibri"/>
          <w:i/>
          <w:iCs/>
          <w:color w:val="000000"/>
          <w:sz w:val="22"/>
          <w:szCs w:val="22"/>
        </w:rPr>
        <w:t xml:space="preserve">Biological control programmes against insects and weeds in Canada 1969-1980</w:t>
      </w:r>
      <w:r>
        <w:rPr>
          <w:rFonts w:ascii="Calibri" w:hAnsi="Calibri" w:eastAsia="Calibri" w:cs="Calibri"/>
          <w:color w:val="000000"/>
          <w:sz w:val="22"/>
          <w:szCs w:val="22"/>
        </w:rPr>
        <w:t xml:space="preserve"> (Ed. by Kelleher JS, Hulme MA). Commonwealth Agricultural Bureaux, Slough, UK.</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Martineau R (1943)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in Quebec. </w:t>
      </w:r>
      <w:r>
        <w:rPr>
          <w:rFonts w:ascii="Calibri" w:hAnsi="Calibri" w:eastAsia="Calibri" w:cs="Calibri"/>
          <w:i/>
          <w:iCs/>
          <w:color w:val="000000"/>
          <w:sz w:val="22"/>
          <w:szCs w:val="22"/>
        </w:rPr>
        <w:t xml:space="preserve">The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87-107.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(1942) The use of frass in the identification of forest insect damage.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164-167.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(1949) Frass drop measurement in studies of the European spruce sawfly. </w:t>
      </w:r>
      <w:r>
        <w:rPr>
          <w:rFonts w:ascii="Calibri" w:hAnsi="Calibri" w:eastAsia="Calibri" w:cs="Calibri"/>
          <w:i/>
          <w:iCs/>
          <w:color w:val="000000"/>
          <w:sz w:val="22"/>
          <w:szCs w:val="22"/>
        </w:rPr>
        <w:t xml:space="preserve">University of Michigan, School of Forestry and Conservation Bulletin</w:t>
      </w:r>
      <w:r>
        <w:rPr>
          <w:rFonts w:ascii="Calibri" w:hAnsi="Calibri" w:eastAsia="Calibri" w:cs="Calibri"/>
          <w:color w:val="000000"/>
          <w:sz w:val="22"/>
          <w:szCs w:val="22"/>
        </w:rPr>
        <w:t xml:space="preserve"> No. 12. 58 pp. </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MM &amp; Morris RF (1964) The regulation of European spruce sawfly numbers in the Maritime Provinces of Canada from 1937 to 19631.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773-784.</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(1941) The diapause and related phenomena in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(Hartig): iv. Influence of food and diapause upon reproductive capacity. </w:t>
      </w:r>
      <w:r>
        <w:rPr>
          <w:rFonts w:ascii="Calibri" w:hAnsi="Calibri" w:eastAsia="Calibri" w:cs="Calibri"/>
          <w:i/>
          <w:iCs/>
          <w:color w:val="000000"/>
          <w:sz w:val="22"/>
          <w:szCs w:val="22"/>
        </w:rPr>
        <w:t xml:space="preserve">Canadian Journal of Research 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417–436.</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(1943) Sampling methods in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in Eastern Canada. Transactions of the Royal Society of Canada </w:t>
      </w:r>
      <w:r>
        <w:rPr>
          <w:rFonts w:ascii="Calibri" w:hAnsi="Calibri" w:eastAsia="Calibri" w:cs="Calibri"/>
          <w:b/>
          <w:bCs/>
          <w:color w:val="000000"/>
          <w:sz w:val="22"/>
          <w:szCs w:val="22"/>
        </w:rPr>
        <w:t xml:space="preserve">V</w:t>
      </w:r>
      <w:r>
        <w:rPr>
          <w:rFonts w:ascii="Calibri" w:hAnsi="Calibri" w:eastAsia="Calibri" w:cs="Calibri"/>
          <w:color w:val="000000"/>
          <w:sz w:val="22"/>
          <w:szCs w:val="22"/>
        </w:rPr>
        <w:t xml:space="preserve">, 93-126.</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(1941) On the taxonomic status of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and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(Htg.) (Hym., Diprionidae).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177-188.</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(1953) The establishment of introduced parasites of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(Hymenoptera: Diprionidae) in the Maritime Provinces. </w:t>
      </w:r>
      <w:r>
        <w:rPr>
          <w:rFonts w:ascii="Calibri" w:hAnsi="Calibri" w:eastAsia="Calibri" w:cs="Calibri"/>
          <w:i/>
          <w:iCs/>
          <w:color w:val="000000"/>
          <w:sz w:val="22"/>
          <w:szCs w:val="22"/>
        </w:rPr>
        <w:t xml:space="preserve">Canadian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405-429.</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&amp; Barter GW (1951) Growth reduction and mortality of spruce caused by the European spruce sawfly, </w:t>
      </w:r>
      <w:r>
        <w:rPr>
          <w:rFonts w:ascii="Calibri" w:hAnsi="Calibri" w:eastAsia="Calibri" w:cs="Calibri"/>
          <w:i/>
          <w:iCs/>
          <w:color w:val="000000"/>
          <w:sz w:val="22"/>
          <w:szCs w:val="22"/>
        </w:rPr>
        <w:t xml:space="preserve">Gilpinia hercyniae </w:t>
      </w:r>
      <w:r>
        <w:rPr>
          <w:rFonts w:ascii="Calibri" w:hAnsi="Calibri" w:eastAsia="Calibri" w:cs="Calibri"/>
          <w:color w:val="000000"/>
          <w:sz w:val="22"/>
          <w:szCs w:val="22"/>
        </w:rPr>
        <w:t xml:space="preserve">(Htg.) (Hymenoptera: Diprionidae). </w:t>
      </w:r>
      <w:r>
        <w:rPr>
          <w:rFonts w:ascii="Calibri" w:hAnsi="Calibri" w:eastAsia="Calibri" w:cs="Calibri"/>
          <w:i/>
          <w:iCs/>
          <w:color w:val="000000"/>
          <w:sz w:val="22"/>
          <w:szCs w:val="22"/>
        </w:rPr>
        <w:t xml:space="preserve">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140-156.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(1941) A new form of spruce sawfly identified by means of its cytology and parthenogenesis.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245-305.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DR (1974) Conifer sawflies, Diprionidae: Key to North American genera, checklist of world species, and new species from Mexico (Hymenoptera).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409-418.</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(1960) Zur Kenntnis der Fichten-Blattwespen. VI. Die Populationsdichte der Diprionidae: Niveau und Fluktuationen.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513-524.</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(1968) Zur Kenntnis der Fichtenblattwespen VIII. Eizahl und Eiablage.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338-350.</w:t>
      </w:r>
    </w:p>
    <w:p>
      <w:pPr>
        <w:widowControl w:val="on"/>
        <w:pBdr/>
        <w:spacing w:before="220" w:after="220" w:line="240" w:lineRule="auto"/>
        <w:ind w:left="0" w:right="0"/>
        <w:jc w:val="left"/>
      </w:pPr>
      <w:r>
        <w:rPr>
          <w:rFonts w:ascii="Calibri" w:hAnsi="Calibri" w:eastAsia="Calibri" w:cs="Calibri"/>
          <w:color w:val="000000"/>
          <w:sz w:val="22"/>
          <w:szCs w:val="22"/>
        </w:rPr>
        <w:t xml:space="preserve">van Frankenhuyzen K, Lucarotti C &amp; Lavallée R (2016) Canadian contributions to forest insect pathology and to the use of pathogens in forest pest management.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S210-S238.</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DT, Straw NA &amp; Day KR (2003) Defoliation of Sitka spruce by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a retrospective analysis using the needle trace method.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235-245.</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(1977) </w:t>
      </w:r>
      <w:r>
        <w:rPr>
          <w:rFonts w:ascii="Calibri" w:hAnsi="Calibri" w:eastAsia="Calibri" w:cs="Calibri"/>
          <w:i/>
          <w:iCs/>
          <w:color w:val="000000"/>
          <w:sz w:val="22"/>
          <w:szCs w:val="22"/>
        </w:rPr>
        <w:t xml:space="preserve">A guide to insect injury of conifers in the Lake States.</w:t>
      </w:r>
      <w:r>
        <w:rPr>
          <w:rFonts w:ascii="Calibri" w:hAnsi="Calibri" w:eastAsia="Calibri" w:cs="Calibri"/>
          <w:color w:val="000000"/>
          <w:sz w:val="22"/>
          <w:szCs w:val="22"/>
        </w:rPr>
        <w:t xml:space="preserve"> US Department of Agriculture, Forest Service, Agriculture Handbook, No. 501. US Government Printing Office, Washington, DC. 218 pp.</w:t>
      </w:r>
    </w:p>
    <w:p>
      <w:pPr>
        <w:widowControl w:val="on"/>
        <w:pBdr/>
        <w:spacing w:before="220" w:after="220" w:line="240" w:lineRule="auto"/>
        <w:ind w:left="0" w:right="0"/>
        <w:jc w:val="left"/>
      </w:pPr>
      <w:r>
        <w:rPr>
          <w:rFonts w:ascii="Calibri" w:hAnsi="Calibri" w:eastAsia="Calibri" w:cs="Calibri"/>
          <w:color w:val="000000"/>
          <w:sz w:val="22"/>
          <w:szCs w:val="22"/>
        </w:rPr>
        <w:t xml:space="preserve">Wong HR &amp; Szlabey DL (1986) larvae of the North American genera of Diprionidae (Hymenoptera: Symphyta).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577-587.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Robert A. Haack, USDA Forest Service, Northern Research Station.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EPPO datasheets on pests recommended for regulation. Available online. </w:t>
      </w:r>
      <w:hyperlink r:id="rId71996803f49dabfd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4120490" name="name32596803f49dac28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236803f49dac27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178437">
    <w:multiLevelType w:val="hybridMultilevel"/>
    <w:lvl w:ilvl="0" w:tplc="19989103">
      <w:start w:val="1"/>
      <w:numFmt w:val="decimal"/>
      <w:lvlText w:val="%1."/>
      <w:lvlJc w:val="left"/>
      <w:pPr>
        <w:ind w:left="720" w:hanging="360"/>
      </w:pPr>
    </w:lvl>
    <w:lvl w:ilvl="1" w:tplc="19989103" w:tentative="1">
      <w:start w:val="1"/>
      <w:numFmt w:val="lowerLetter"/>
      <w:lvlText w:val="%2."/>
      <w:lvlJc w:val="left"/>
      <w:pPr>
        <w:ind w:left="1440" w:hanging="360"/>
      </w:pPr>
    </w:lvl>
    <w:lvl w:ilvl="2" w:tplc="19989103" w:tentative="1">
      <w:start w:val="1"/>
      <w:numFmt w:val="lowerRoman"/>
      <w:lvlText w:val="%3."/>
      <w:lvlJc w:val="right"/>
      <w:pPr>
        <w:ind w:left="2160" w:hanging="180"/>
      </w:pPr>
    </w:lvl>
    <w:lvl w:ilvl="3" w:tplc="19989103" w:tentative="1">
      <w:start w:val="1"/>
      <w:numFmt w:val="decimal"/>
      <w:lvlText w:val="%4."/>
      <w:lvlJc w:val="left"/>
      <w:pPr>
        <w:ind w:left="2880" w:hanging="360"/>
      </w:pPr>
    </w:lvl>
    <w:lvl w:ilvl="4" w:tplc="19989103" w:tentative="1">
      <w:start w:val="1"/>
      <w:numFmt w:val="lowerLetter"/>
      <w:lvlText w:val="%5."/>
      <w:lvlJc w:val="left"/>
      <w:pPr>
        <w:ind w:left="3600" w:hanging="360"/>
      </w:pPr>
    </w:lvl>
    <w:lvl w:ilvl="5" w:tplc="19989103" w:tentative="1">
      <w:start w:val="1"/>
      <w:numFmt w:val="lowerRoman"/>
      <w:lvlText w:val="%6."/>
      <w:lvlJc w:val="right"/>
      <w:pPr>
        <w:ind w:left="4320" w:hanging="180"/>
      </w:pPr>
    </w:lvl>
    <w:lvl w:ilvl="6" w:tplc="19989103" w:tentative="1">
      <w:start w:val="1"/>
      <w:numFmt w:val="decimal"/>
      <w:lvlText w:val="%7."/>
      <w:lvlJc w:val="left"/>
      <w:pPr>
        <w:ind w:left="5040" w:hanging="360"/>
      </w:pPr>
    </w:lvl>
    <w:lvl w:ilvl="7" w:tplc="19989103" w:tentative="1">
      <w:start w:val="1"/>
      <w:numFmt w:val="lowerLetter"/>
      <w:lvlText w:val="%8."/>
      <w:lvlJc w:val="left"/>
      <w:pPr>
        <w:ind w:left="5760" w:hanging="360"/>
      </w:pPr>
    </w:lvl>
    <w:lvl w:ilvl="8" w:tplc="19989103" w:tentative="1">
      <w:start w:val="1"/>
      <w:numFmt w:val="lowerRoman"/>
      <w:lvlText w:val="%9."/>
      <w:lvlJc w:val="right"/>
      <w:pPr>
        <w:ind w:left="6480" w:hanging="180"/>
      </w:pPr>
    </w:lvl>
  </w:abstractNum>
  <w:abstractNum w:abstractNumId="79178436">
    <w:multiLevelType w:val="hybridMultilevel"/>
    <w:lvl w:ilvl="0" w:tplc="983511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178436">
    <w:abstractNumId w:val="79178436"/>
  </w:num>
  <w:num w:numId="79178437">
    <w:abstractNumId w:val="791784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8441688" Type="http://schemas.microsoft.com/office/2011/relationships/commentsExtended" Target="commentsExtended.xml"/><Relationship Id="rId371897593" Type="http://schemas.microsoft.com/office/2011/relationships/people" Target="people.xml"/><Relationship Id="rId17846803f49da7924" Type="http://schemas.openxmlformats.org/officeDocument/2006/relationships/hyperlink" Target="https://gd.eppo.int/taxon/GILPPO/" TargetMode="External"/><Relationship Id="rId78876803f49da796b" Type="http://schemas.openxmlformats.org/officeDocument/2006/relationships/hyperlink" Target="https://gd.eppo.int/taxon/GILPPO/categorization" TargetMode="External"/><Relationship Id="rId95226803f49da8699" Type="http://schemas.openxmlformats.org/officeDocument/2006/relationships/hyperlink" Target="https://gd.eppo.int/taxon/GILPPO/photos" TargetMode="External"/><Relationship Id="rId71996803f49dabfda" Type="http://schemas.openxmlformats.org/officeDocument/2006/relationships/hyperlink" Target="https://gd.eppo.int" TargetMode="External"/><Relationship Id="rId10076803f49da84e9" Type="http://schemas.openxmlformats.org/officeDocument/2006/relationships/image" Target="media/imgrId10076803f49da84e9.jpg"/><Relationship Id="rId23186803f49da9e98" Type="http://schemas.openxmlformats.org/officeDocument/2006/relationships/image" Target="media/imgrId23186803f49da9e98.jpg"/><Relationship Id="rId48236803f49dac27e" Type="http://schemas.openxmlformats.org/officeDocument/2006/relationships/image" Target="media/imgrId48236803f49dac27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