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Neofusicoccum laricinum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Neofusicoccum laricinum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(Sawada) Y. Hattori &amp; C. Nakashima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Botryosphaeriaceae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Botryosphaeria laricina</w:t>
            </w:r>
            <w:r>
              <w:rPr>
                <w:rFonts w:ascii="Calibri" w:hAnsi="Calibri" w:eastAsia="Calibri" w:cs="Calibri"/>
                <w:color w:val="000000"/>
                <w:position w:val="-3"/>
                <w:sz w:val="22"/>
                <w:szCs w:val="22"/>
              </w:rPr>
              <w:t xml:space="preserve"> (Sawada) Shang, </w:t>
            </w:r>
            <w:r>
              <w:rPr>
                <w:rFonts w:ascii="Calibri" w:hAnsi="Calibri" w:eastAsia="Calibri" w:cs="Calibri"/>
                <w:i/>
                <w:iCs/>
                <w:color w:val="000000"/>
                <w:position w:val="-3"/>
                <w:sz w:val="22"/>
                <w:szCs w:val="22"/>
              </w:rPr>
              <w:t xml:space="preserve">Guignardia laricina</w:t>
            </w:r>
            <w:r>
              <w:rPr>
                <w:rFonts w:ascii="Calibri" w:hAnsi="Calibri" w:eastAsia="Calibri" w:cs="Calibri"/>
                <w:color w:val="000000"/>
                <w:position w:val="-3"/>
                <w:sz w:val="22"/>
                <w:szCs w:val="22"/>
              </w:rPr>
              <w:t xml:space="preserve"> (Sawada) Yamamoto &amp; K.Ito, </w:t>
            </w:r>
            <w:r>
              <w:rPr>
                <w:rFonts w:ascii="Calibri" w:hAnsi="Calibri" w:eastAsia="Calibri" w:cs="Calibri"/>
                <w:i/>
                <w:iCs/>
                <w:color w:val="000000"/>
                <w:position w:val="-3"/>
                <w:sz w:val="22"/>
                <w:szCs w:val="22"/>
              </w:rPr>
              <w:t xml:space="preserve">Physalospora laricina</w:t>
            </w:r>
            <w:r>
              <w:rPr>
                <w:rFonts w:ascii="Calibri" w:hAnsi="Calibri" w:eastAsia="Calibri" w:cs="Calibri"/>
                <w:color w:val="000000"/>
                <w:position w:val="-3"/>
                <w:sz w:val="22"/>
                <w:szCs w:val="22"/>
              </w:rPr>
              <w:t xml:space="preserve"> Sawada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shoot blight of larch, twig die-back of larch</w:t>
            </w:r>
            <w:hyperlink r:id="rId49336803c019c197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9256803c019c19d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GUIGLA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456685" name="name62116803c019c21b4" descr="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8.jpg"/>
                          <pic:cNvPicPr/>
                        </pic:nvPicPr>
                        <pic:blipFill>
                          <a:blip r:embed="rId21706803c019c21b3" cstate="print"/>
                          <a:stretch>
                            <a:fillRect/>
                          </a:stretch>
                        </pic:blipFill>
                        <pic:spPr>
                          <a:xfrm>
                            <a:off x="0" y="0"/>
                            <a:ext cx="2160000" cy="1281600"/>
                          </a:xfrm>
                          <a:prstGeom prst="rect">
                            <a:avLst/>
                          </a:prstGeom>
                          <a:ln w="0">
                            <a:noFill/>
                          </a:ln>
                        </pic:spPr>
                      </pic:pic>
                    </a:graphicData>
                  </a:graphic>
                </wp:inline>
              </w:drawing>
            </w:r>
            <w:hyperlink r:id="rId70336803c019c22d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of </w:t>
      </w:r>
      <w:r>
        <w:rPr>
          <w:rFonts w:ascii="Calibri" w:hAnsi="Calibri" w:eastAsia="Calibri" w:cs="Calibri"/>
          <w:i/>
          <w:iCs/>
          <w:color w:val="000000"/>
          <w:sz w:val="22"/>
          <w:szCs w:val="22"/>
        </w:rPr>
        <w:t xml:space="preserve">Neofusicoccum laricinum</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The most susceptible ones are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laricina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occidentalis</w:t>
      </w:r>
      <w:r>
        <w:rPr>
          <w:rFonts w:ascii="Calibri" w:hAnsi="Calibri" w:eastAsia="Calibri" w:cs="Calibri"/>
          <w:color w:val="000000"/>
          <w:sz w:val="22"/>
          <w:szCs w:val="22"/>
        </w:rPr>
        <w:t xml:space="preserve">. Intermediate resistance has been observed on </w:t>
      </w:r>
      <w:r>
        <w:rPr>
          <w:rFonts w:ascii="Calibri" w:hAnsi="Calibri" w:eastAsia="Calibri" w:cs="Calibri"/>
          <w:i/>
          <w:iCs/>
          <w:color w:val="000000"/>
          <w:sz w:val="22"/>
          <w:szCs w:val="22"/>
        </w:rPr>
        <w:t xml:space="preserve">L.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eurolepis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Resistance has been shown on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olgensis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koreana</w:t>
      </w:r>
      <w:r>
        <w:rPr>
          <w:rFonts w:ascii="Calibri" w:hAnsi="Calibri" w:eastAsia="Calibri" w:cs="Calibri"/>
          <w:color w:val="000000"/>
          <w:sz w:val="22"/>
          <w:szCs w:val="22"/>
        </w:rPr>
        <w:t xml:space="preserve">. The only other host in nature is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Many other conifers can be infected by artificial inoculation. For additional information, see Sato &amp; Shouji (1962),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Ito (1963), Imazeki &amp; Ito (1963), Oguchi (1970),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is widely distributed in Europe at various altitudes (e.g. in the Alps and also in the Polish plains).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is also planted in the EPPO region.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is an important forest tree.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is reported from East Asia, i.e. Eastern China, Japan, the Korean Peninsula and the Russian Far East.</w:t>
      </w:r>
    </w:p>
    <w:p>
      <w:r>
        <w:drawing>
          <wp:inline distT="0" distB="0" distL="0" distR="0">
            <wp:extent cx="6120000" cy="3067200"/>
            <wp:docPr id="49833942" name="name18916803c019c34a3" descr="GUIG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GLA_distribution_map.jpg"/>
                    <pic:cNvPicPr/>
                  </pic:nvPicPr>
                  <pic:blipFill>
                    <a:blip r:embed="rId40626803c019c349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Jilin, Liaoning, Shandong), Japan (Hokkaido, Honshu), Korea, Democratic People's Republic of,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has mainly been studied in Japan (Uozomi, 1961; Yokota, 1966;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w:t>
      </w:r>
    </w:p>
    <w:p>
      <w:pPr>
        <w:widowControl w:val="on"/>
        <w:pBdr/>
        <w:spacing w:before="220" w:after="220" w:line="240" w:lineRule="auto"/>
        <w:ind w:left="0" w:right="0"/>
        <w:jc w:val="both"/>
      </w:pPr>
      <w:r>
        <w:rPr>
          <w:rFonts w:ascii="Calibri" w:hAnsi="Calibri" w:eastAsia="Calibri" w:cs="Calibri"/>
          <w:color w:val="000000"/>
          <w:sz w:val="22"/>
          <w:szCs w:val="22"/>
        </w:rPr>
        <w:t xml:space="preserve">The asexual morph appears in abundance on the underside of needles and on young sprouts between July and November, and spores are dispersed by insects or rain. During this time, the pycnidiospores are released and give rise to secondary infections in late summer. Discharge of conidia occurs between 10 and 35°C (25°C optimum) and was observed to occur at 98% RH. A few spores in their pycnidia can overwinter until the following April.</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morph appears on branches after October. The black pseudothecia, which occur in groups or singly, take 2 years to develop. Ascospores released between May and October (peak July-August) are the source of primary infections. Optimum temperature for infection is 20°C with free water. Ascospores can infect host plants throughout the season, but do so principally at the beginning of August; wounds do not appear necessary for penetration. Disease symptoms appear about 2 weeks after infection. Some spores may overwinter in the pseudothecia. Cool winters and short summers do not favour the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conspicuous as discoloration, wilting and death of the succulent current season's growth. Old twigs remain unaffected. Early attack, visible between June and September, causes hanging-down of the top of shoots, accompanied by a yellowing and browning of needles which may fall. The needles at the tops of shoots turn brown and often remain on the tree during winter. Dark, sunken lesions, abundant in sporulating bodies, and exuding resin appear on the stems of affected seedlings and on shoots, and usually girdle these parts. The resin hardens into whitish drops. Late infections, occurring in September to early October, do not show the characteristic hanging-down, owing to the lignified nature of the twigs. On needles, symptoms appear as brown spots with chlorotic haloes, which subsequently coalesce. Repeated infections result in stunted, bushy trees with many dead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Imazeki &amp; Ito (1963), Ito (1963),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Sexual morph: Diseased twigs defoliated from the middle to the tip, with exudate resin. Fruit bodies lined, erumpent. Ascomata epidermal, blackish, globose, 368 μm diam; ostiole erumpent, 60 μm diam; paraphyses developed, intricate, 3 μm. Ascus clavate, rounded at the apex, stipitate at the base, hyaline, 114–135 × 22–26 μm. Ascospores ellipsoid, smooth, hyaline, 24–27 × 13 μm (Sawada, 1950).</w:t>
      </w:r>
    </w:p>
    <w:p>
      <w:pPr>
        <w:widowControl w:val="on"/>
        <w:pBdr/>
        <w:spacing w:before="220" w:after="220" w:line="240" w:lineRule="auto"/>
        <w:ind w:left="0" w:right="0"/>
        <w:jc w:val="both"/>
      </w:pPr>
      <w:r>
        <w:rPr>
          <w:rFonts w:ascii="Calibri" w:hAnsi="Calibri" w:eastAsia="Calibri" w:cs="Calibri"/>
          <w:color w:val="000000"/>
          <w:sz w:val="22"/>
          <w:szCs w:val="22"/>
        </w:rPr>
        <w:t xml:space="preserve">Asexual morph: Conidiomata pycnidial, epidermal, merged, solitary, globose, dark brown, subglobose, unilocular, with a central ostiole, 204–246 × 207–212 μm; pycnidial wall composed of depressed or irregular cells in three to four layers, brown to dark brown. Conidiophores reduced to conidiogenous cells; conidiogenous cells discrete, hyaline, cylindrical to ampulliform, determinate, with periclinal thickening, or proliferating percurrently, 9–23 × 2.4–5 μm. Paraphyses not seen. Conidia holoblastic sporulation for first conidia, phialidic sporulation for following conidia, hyaline, smooth, aseptate, slightly colored and septate with age, ellipsoid to fusiform, granulate, subtruncate to bluntly rounded at the base, rounded to subacute at the apex, with a short frill at both ends, 23–38 × 7–12 μm, 29.85 × 8.50 μm on average, L/W = 3.57 (Hattori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fungal fruiting bodies may be observed directly or isolated and cultured on a medium containing 3 g yeast extract, 10 g soluble starch, 0.25 g MgSO</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7H</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O, 15 g agar in 1 L distilled water, maintained at 20°C (Hara &amp; Ito, 1963; Ito, 1963). To identify species in the genus </w:t>
      </w:r>
      <w:r>
        <w:rPr>
          <w:rFonts w:ascii="Calibri" w:hAnsi="Calibri" w:eastAsia="Calibri" w:cs="Calibri"/>
          <w:i/>
          <w:iCs/>
          <w:color w:val="000000"/>
          <w:sz w:val="22"/>
          <w:szCs w:val="22"/>
        </w:rPr>
        <w:t xml:space="preserve">Neofusicoccum</w:t>
      </w:r>
      <w:r>
        <w:rPr>
          <w:rFonts w:ascii="Calibri" w:hAnsi="Calibri" w:eastAsia="Calibri" w:cs="Calibri"/>
          <w:color w:val="000000"/>
          <w:sz w:val="22"/>
          <w:szCs w:val="22"/>
        </w:rPr>
        <w:t xml:space="preserve">, it is now essential to use molecular phylogenetic analysis using the regions of rDNA ITS, rpb2, tef1-α, and tub2. The deposit numbers for each ex-epitype (FFPRI 411215 = MUCC 2662) sequence are LC589129 for ITS, LC589140 for tef1, LC589151 for tub2, LC589164 for rpb2 (Hattori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spreads by dispersal of ascospores and conidia. In international trade, spread is possible on diseased host trees, including artificially dwarfed plants. Cut branches may also be a possible pathway (EFSA, 2018). Pollen or seed is unlikely to harbour the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caused the most serious disease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forests and nurseries in Japan. It had long been known locally, but started to cause large-scale damage in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after 1959 - at which time, areas planted with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were increasing rapidly. In 1963, more than 80 000 ha of plantations were diseased, with 100% of the trees affected. Although young diseased trees do not usually die, their subsequent growth is retarded or stopped.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causes severe damage in areas with strong winds, but after changing the tree species planted in these areas and using appropriate management measures, this disease is now under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chemical control is applied against this disease (Oguchi, 1980; Okada, 2000). In addition, intensive testing of disease-resistant clones and observation of their growth in forest plantations has been carried out (Oguchi, 1963; Sato, 1970; Kobayashi,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nursery fields, fungicides can be applied every 2 weeks during the infection period (June to September). In highly infested nurseries, dipping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seedlings into fungicide solution in spring is also used. In forest plantations, it is important to avoid bringing in diseased seedlings. When the disease is not widespread, early detection is important to eradicate the disease. If damage is widespread, it is necessary to reduce the density of the pathogen by prioritizing the felling of diseased trees during thinning. Removal and burning of the infected trees and reforestation by other species are also carried out in heavily diseased stands.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could be potentially dangerous to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wherever present. Considering the distribution of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in East Asia, climatic conditions prevailing in Europe are assumed not to be a limiting factor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risk that this fungus could present to the EPPO region it is recommended that all countries should prohibit importation of plants for planting and cut branches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this fungus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Gregoire J-C, Jaques Miret JA, MacLeod A, Navajas Navarro M, Niere B, Parnell S, Potting R, Rafoss T, Rossi V, Urek G, Van Bruggen A, Van der Werf W, West J, Winter S, Boberg J, Gonthier P, Pautasso M (2018) Scientific Opinion on the pest categorisation of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5303, 24 pp. </w:t>
      </w:r>
      <w:hyperlink r:id="rId24606803c019c3dd2" w:history="1">
        <w:r>
          <w:rPr>
            <w:rFonts w:ascii="Calibri" w:hAnsi="Calibri" w:eastAsia="Calibri" w:cs="Calibri"/>
            <w:color w:val="0000CC"/>
            <w:sz w:val="22"/>
            <w:szCs w:val="22"/>
            <w:u w:val="single"/>
          </w:rPr>
          <w:t xml:space="preserve">https://doi.org/10.2903/j.efsa.2018.5303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Hara K &amp; Ito K (1963) [Agar-media for sporulation of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(Sawada) W. Yamamoto et K. ITo, the shoot blight fungus of larch (Preliminary report)]. </w:t>
      </w:r>
      <w:r>
        <w:rPr>
          <w:rFonts w:ascii="Calibri" w:hAnsi="Calibri" w:eastAsia="Calibri" w:cs="Calibri"/>
          <w:i/>
          <w:iCs/>
          <w:color w:val="000000"/>
          <w:sz w:val="22"/>
          <w:szCs w:val="22"/>
        </w:rPr>
        <w:t xml:space="preserve">Journal of the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238-241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Hattori Y, Ando Y &amp; Nakashima C (2021) Taxonomical re-examination of the genus </w:t>
      </w:r>
      <w:r>
        <w:rPr>
          <w:rFonts w:ascii="Calibri" w:hAnsi="Calibri" w:eastAsia="Calibri" w:cs="Calibri"/>
          <w:i/>
          <w:iCs/>
          <w:color w:val="000000"/>
          <w:sz w:val="22"/>
          <w:szCs w:val="22"/>
        </w:rPr>
        <w:t xml:space="preserve">Neofusicoccum</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250-259.</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&amp; Ito K (1963) Dangerous forest diseases in Japan. Shoot blight of larch. In: </w:t>
      </w:r>
      <w:r>
        <w:rPr>
          <w:rFonts w:ascii="Calibri" w:hAnsi="Calibri" w:eastAsia="Calibri" w:cs="Calibri"/>
          <w:i/>
          <w:iCs/>
          <w:color w:val="000000"/>
          <w:sz w:val="22"/>
          <w:szCs w:val="22"/>
        </w:rPr>
        <w:t xml:space="preserve">Internationally dangerous forest tree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Miscellaneous Publications, Forest Service, US Department of Agriculture</w:t>
      </w:r>
      <w:r>
        <w:rPr>
          <w:rFonts w:ascii="Calibri" w:hAnsi="Calibri" w:eastAsia="Calibri" w:cs="Calibri"/>
          <w:color w:val="000000"/>
          <w:sz w:val="22"/>
          <w:szCs w:val="22"/>
        </w:rPr>
        <w:t xml:space="preserve"> No. 939, 48-49.</w:t>
      </w:r>
    </w:p>
    <w:p>
      <w:pPr>
        <w:widowControl w:val="on"/>
        <w:pBdr/>
        <w:spacing w:before="220" w:after="220" w:line="240" w:lineRule="auto"/>
        <w:ind w:left="0" w:right="0"/>
        <w:jc w:val="left"/>
      </w:pPr>
      <w:r>
        <w:rPr>
          <w:rFonts w:ascii="Calibri" w:hAnsi="Calibri" w:eastAsia="Calibri" w:cs="Calibri"/>
          <w:color w:val="000000"/>
          <w:sz w:val="22"/>
          <w:szCs w:val="22"/>
        </w:rPr>
        <w:t xml:space="preserve">Ito K (1963) Shoot blight of larches. A destructive disease in larch plantations of Japan. </w:t>
      </w:r>
      <w:r>
        <w:rPr>
          <w:rFonts w:ascii="Calibri" w:hAnsi="Calibri" w:eastAsia="Calibri" w:cs="Calibri"/>
          <w:i/>
          <w:iCs/>
          <w:color w:val="000000"/>
          <w:sz w:val="22"/>
          <w:szCs w:val="22"/>
        </w:rPr>
        <w:t xml:space="preserve">Bulletin of the Government Forest Experiment Station,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89-103.</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T (1980) Important forest diseases and their control measures.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Special Issue No. 11, 298 pp.</w:t>
      </w:r>
    </w:p>
    <w:p>
      <w:pPr>
        <w:widowControl w:val="on"/>
        <w:pBdr/>
        <w:spacing w:before="220" w:after="220" w:line="240" w:lineRule="auto"/>
        <w:ind w:left="0" w:right="0"/>
        <w:jc w:val="left"/>
      </w:pPr>
      <w:r>
        <w:rPr>
          <w:rFonts w:ascii="Calibri" w:hAnsi="Calibri" w:eastAsia="Calibri" w:cs="Calibri"/>
          <w:color w:val="000000"/>
          <w:sz w:val="22"/>
          <w:szCs w:val="22"/>
        </w:rPr>
        <w:t xml:space="preserve">Okada M (2000) カラマツ先枯病[The shoot blight disease of Larch], 技術情報, No. 103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Oguchi T (1963) カラマツ先枯病に対するカラマツクローンの耐病性差異[Differential resistance of Larch clones to the shoot blight of Larch], 北海道光珠内林木育種場報告, N0. 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Oguchi T (1970) Growth of three species of larch and their infecting period to the shoot blight disease. </w:t>
      </w:r>
      <w:r>
        <w:rPr>
          <w:rFonts w:ascii="Calibri" w:hAnsi="Calibri" w:eastAsia="Calibri" w:cs="Calibri"/>
          <w:i/>
          <w:iCs/>
          <w:color w:val="000000"/>
          <w:sz w:val="22"/>
          <w:szCs w:val="22"/>
        </w:rPr>
        <w:t xml:space="preserve">Bulletin, Hokkaido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35-40.</w:t>
      </w:r>
    </w:p>
    <w:p>
      <w:pPr>
        <w:widowControl w:val="on"/>
        <w:pBdr/>
        <w:spacing w:before="220" w:after="220" w:line="240" w:lineRule="auto"/>
        <w:ind w:left="0" w:right="0"/>
        <w:jc w:val="left"/>
      </w:pPr>
      <w:r>
        <w:rPr>
          <w:rFonts w:ascii="Calibri" w:hAnsi="Calibri" w:eastAsia="Calibri" w:cs="Calibri"/>
          <w:color w:val="000000"/>
          <w:sz w:val="22"/>
          <w:szCs w:val="22"/>
        </w:rPr>
        <w:t xml:space="preserve">Oguchi T (1980) カラマツの四大樹病[Forest Diseases Series 1: Four Major Diseases of Japanese Larch]. </w:t>
      </w:r>
      <w:r>
        <w:rPr>
          <w:rFonts w:ascii="Calibri" w:hAnsi="Calibri" w:eastAsia="Calibri" w:cs="Calibri"/>
          <w:i/>
          <w:iCs/>
          <w:color w:val="000000"/>
          <w:sz w:val="22"/>
          <w:szCs w:val="22"/>
        </w:rPr>
        <w:t xml:space="preserve">光珠内季報</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44, 46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&amp; Shouji T (1962) [Ditto V (Preliminary report). Pathogenicity of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the causal fungus of the disease]. </w:t>
      </w:r>
      <w:r>
        <w:rPr>
          <w:rFonts w:ascii="Calibri" w:hAnsi="Calibri" w:eastAsia="Calibri" w:cs="Calibri"/>
          <w:i/>
          <w:iCs/>
          <w:color w:val="000000"/>
          <w:sz w:val="22"/>
          <w:szCs w:val="22"/>
        </w:rPr>
        <w:t xml:space="preserve">Transactions of the 73rd Annual Meetings of the Japanese Forestry Society</w:t>
      </w:r>
      <w:r>
        <w:rPr>
          <w:rFonts w:ascii="Calibri" w:hAnsi="Calibri" w:eastAsia="Calibri" w:cs="Calibri"/>
          <w:color w:val="000000"/>
          <w:sz w:val="22"/>
          <w:szCs w:val="22"/>
        </w:rPr>
        <w:t xml:space="preserve">, 217-219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Yokozawa Y, Shoji T (1963) Studies on the shoot blight disease of larch I. </w:t>
      </w:r>
      <w:r>
        <w:rPr>
          <w:rFonts w:ascii="Calibri" w:hAnsi="Calibri" w:eastAsia="Calibri" w:cs="Calibri"/>
          <w:i/>
          <w:iCs/>
          <w:color w:val="000000"/>
          <w:sz w:val="22"/>
          <w:szCs w:val="22"/>
        </w:rPr>
        <w:t xml:space="preserve">Bulletin of the Government Forest Experimental Station,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85–137.</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(1970) 東北地方における造林樹種とその品種の病害抵抗性[Disease resistance of silvicultural tree species and their cultivars in the Tohoku region]. 東北の林木育種, No. 26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Yoshinori Y, Shoji T, Kojima C (1971) Studies on the shoot blight of larch II.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236</w:t>
      </w:r>
      <w:r>
        <w:rPr>
          <w:rFonts w:ascii="Calibri" w:hAnsi="Calibri" w:eastAsia="Calibri" w:cs="Calibri"/>
          <w:color w:val="000000"/>
          <w:sz w:val="22"/>
          <w:szCs w:val="22"/>
        </w:rPr>
        <w:t xml:space="preserve">, 27-91.</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(1950) Fungi inhabiting conifers in the Tohoku district. II. Fungi on various conifers except ‘Sugi’. </w:t>
      </w:r>
      <w:r>
        <w:rPr>
          <w:rFonts w:ascii="Calibri" w:hAnsi="Calibri" w:eastAsia="Calibri" w:cs="Calibri"/>
          <w:i/>
          <w:iCs/>
          <w:color w:val="000000"/>
          <w:sz w:val="22"/>
          <w:szCs w:val="22"/>
        </w:rPr>
        <w:t xml:space="preserve">Bulletin of the Government Forest Experimental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144–148.</w:t>
      </w:r>
    </w:p>
    <w:p>
      <w:pPr>
        <w:widowControl w:val="on"/>
        <w:pBdr/>
        <w:spacing w:before="220" w:after="220" w:line="240" w:lineRule="auto"/>
        <w:ind w:left="0" w:right="0"/>
        <w:jc w:val="left"/>
      </w:pPr>
      <w:r>
        <w:rPr>
          <w:rFonts w:ascii="Calibri" w:hAnsi="Calibri" w:eastAsia="Calibri" w:cs="Calibri"/>
          <w:color w:val="000000"/>
          <w:sz w:val="22"/>
          <w:szCs w:val="22"/>
        </w:rPr>
        <w:t xml:space="preserve">Uozumi T (1961) Studies on the shoot blight disease of larch. With special reference to life history of the causal fungus, </w:t>
      </w:r>
      <w:r>
        <w:rPr>
          <w:rFonts w:ascii="Calibri" w:hAnsi="Calibri" w:eastAsia="Calibri" w:cs="Calibri"/>
          <w:i/>
          <w:iCs/>
          <w:color w:val="000000"/>
          <w:sz w:val="22"/>
          <w:szCs w:val="22"/>
        </w:rPr>
        <w:t xml:space="preserve">Physalospora laricina</w:t>
      </w:r>
      <w:r>
        <w:rPr>
          <w:rFonts w:ascii="Calibri" w:hAnsi="Calibri" w:eastAsia="Calibri" w:cs="Calibri"/>
          <w:color w:val="000000"/>
          <w:sz w:val="22"/>
          <w:szCs w:val="22"/>
        </w:rPr>
        <w:t xml:space="preserve"> Sawada.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47-54.</w:t>
      </w:r>
    </w:p>
    <w:p>
      <w:pPr>
        <w:widowControl w:val="on"/>
        <w:pBdr/>
        <w:spacing w:before="220" w:after="220" w:line="240" w:lineRule="auto"/>
        <w:ind w:left="0" w:right="0"/>
        <w:jc w:val="left"/>
      </w:pPr>
      <w:r>
        <w:rPr>
          <w:rFonts w:ascii="Calibri" w:hAnsi="Calibri" w:eastAsia="Calibri" w:cs="Calibri"/>
          <w:color w:val="000000"/>
          <w:sz w:val="22"/>
          <w:szCs w:val="22"/>
        </w:rPr>
        <w:t xml:space="preserve">Yokota S (1966) Ecological studies on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the causal fungus of the shoot blight of larch trees and climatic factors influencing the outbreak of the disease.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184</w:t>
      </w:r>
      <w:r>
        <w:rPr>
          <w:rFonts w:ascii="Calibri" w:hAnsi="Calibri" w:eastAsia="Calibri" w:cs="Calibri"/>
          <w:color w:val="000000"/>
          <w:sz w:val="22"/>
          <w:szCs w:val="22"/>
        </w:rPr>
        <w:t xml:space="preserve">, 79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2021 by Yukako Hattori, Forestry and Forest Products Research Institute (FFPRI), Japan Society for the Promotion of Science (JSPS).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Neofusicoccum laricinum</w:t>
      </w:r>
      <w:r>
        <w:rPr>
          <w:rFonts w:ascii="Calibri" w:hAnsi="Calibri" w:eastAsia="Calibri" w:cs="Calibri"/>
          <w:color w:val="000000"/>
          <w:sz w:val="22"/>
          <w:szCs w:val="22"/>
        </w:rPr>
        <w:t xml:space="preserve">. EPPO datasheets on pests recommended for regulation. Available online. </w:t>
      </w:r>
      <w:hyperlink r:id="rId22076803c019c440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12,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2 pp.</w:t>
      </w:r>
      <w:hyperlink r:id="rId52796803c019c457f" w:history="1">
        <w:r>
          <w:rPr>
            <w:rFonts w:ascii="Calibri" w:hAnsi="Calibri" w:eastAsia="Calibri" w:cs="Calibri"/>
            <w:color w:val="0000CC"/>
            <w:sz w:val="22"/>
            <w:szCs w:val="22"/>
            <w:u w:val="single"/>
          </w:rPr>
          <w:t xml:space="preserve">https://doi.org/10.1111/j.1365-2338.1978.tb02759.x</w:t>
        </w:r>
      </w:hyperlink>
      <w:r>
        <w:rPr>
          <w:rFonts w:ascii="Calibri" w:hAnsi="Calibri" w:eastAsia="Calibri" w:cs="Calibri"/>
          <w:color w:val="000000"/>
          <w:sz w:val="22"/>
          <w:szCs w:val="22"/>
        </w:rPr>
        <w:t xml:space="preserve"> </w:t>
      </w:r>
    </w:p>
    <w:p>
      <w:r>
        <w:drawing>
          <wp:inline distT="0" distB="0" distL="0" distR="0">
            <wp:extent cx="1800000" cy="604800"/>
            <wp:docPr id="80701881" name="name52566803c019c460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896803c019c460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464560">
    <w:multiLevelType w:val="hybridMultilevel"/>
    <w:lvl w:ilvl="0" w:tplc="68888946">
      <w:start w:val="1"/>
      <w:numFmt w:val="decimal"/>
      <w:lvlText w:val="%1."/>
      <w:lvlJc w:val="left"/>
      <w:pPr>
        <w:ind w:left="720" w:hanging="360"/>
      </w:pPr>
    </w:lvl>
    <w:lvl w:ilvl="1" w:tplc="68888946" w:tentative="1">
      <w:start w:val="1"/>
      <w:numFmt w:val="lowerLetter"/>
      <w:lvlText w:val="%2."/>
      <w:lvlJc w:val="left"/>
      <w:pPr>
        <w:ind w:left="1440" w:hanging="360"/>
      </w:pPr>
    </w:lvl>
    <w:lvl w:ilvl="2" w:tplc="68888946" w:tentative="1">
      <w:start w:val="1"/>
      <w:numFmt w:val="lowerRoman"/>
      <w:lvlText w:val="%3."/>
      <w:lvlJc w:val="right"/>
      <w:pPr>
        <w:ind w:left="2160" w:hanging="180"/>
      </w:pPr>
    </w:lvl>
    <w:lvl w:ilvl="3" w:tplc="68888946" w:tentative="1">
      <w:start w:val="1"/>
      <w:numFmt w:val="decimal"/>
      <w:lvlText w:val="%4."/>
      <w:lvlJc w:val="left"/>
      <w:pPr>
        <w:ind w:left="2880" w:hanging="360"/>
      </w:pPr>
    </w:lvl>
    <w:lvl w:ilvl="4" w:tplc="68888946" w:tentative="1">
      <w:start w:val="1"/>
      <w:numFmt w:val="lowerLetter"/>
      <w:lvlText w:val="%5."/>
      <w:lvlJc w:val="left"/>
      <w:pPr>
        <w:ind w:left="3600" w:hanging="360"/>
      </w:pPr>
    </w:lvl>
    <w:lvl w:ilvl="5" w:tplc="68888946" w:tentative="1">
      <w:start w:val="1"/>
      <w:numFmt w:val="lowerRoman"/>
      <w:lvlText w:val="%6."/>
      <w:lvlJc w:val="right"/>
      <w:pPr>
        <w:ind w:left="4320" w:hanging="180"/>
      </w:pPr>
    </w:lvl>
    <w:lvl w:ilvl="6" w:tplc="68888946" w:tentative="1">
      <w:start w:val="1"/>
      <w:numFmt w:val="decimal"/>
      <w:lvlText w:val="%7."/>
      <w:lvlJc w:val="left"/>
      <w:pPr>
        <w:ind w:left="5040" w:hanging="360"/>
      </w:pPr>
    </w:lvl>
    <w:lvl w:ilvl="7" w:tplc="68888946" w:tentative="1">
      <w:start w:val="1"/>
      <w:numFmt w:val="lowerLetter"/>
      <w:lvlText w:val="%8."/>
      <w:lvlJc w:val="left"/>
      <w:pPr>
        <w:ind w:left="5760" w:hanging="360"/>
      </w:pPr>
    </w:lvl>
    <w:lvl w:ilvl="8" w:tplc="68888946" w:tentative="1">
      <w:start w:val="1"/>
      <w:numFmt w:val="lowerRoman"/>
      <w:lvlText w:val="%9."/>
      <w:lvlJc w:val="right"/>
      <w:pPr>
        <w:ind w:left="6480" w:hanging="180"/>
      </w:pPr>
    </w:lvl>
  </w:abstractNum>
  <w:abstractNum w:abstractNumId="76464559">
    <w:multiLevelType w:val="hybridMultilevel"/>
    <w:lvl w:ilvl="0" w:tplc="875950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464559">
    <w:abstractNumId w:val="76464559"/>
  </w:num>
  <w:num w:numId="76464560">
    <w:abstractNumId w:val="764645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2587341" Type="http://schemas.microsoft.com/office/2011/relationships/commentsExtended" Target="commentsExtended.xml"/><Relationship Id="rId823665582" Type="http://schemas.microsoft.com/office/2011/relationships/people" Target="people.xml"/><Relationship Id="rId49336803c019c1974" Type="http://schemas.openxmlformats.org/officeDocument/2006/relationships/hyperlink" Target="https://gd.eppo.int/taxon/GUIGLA/" TargetMode="External"/><Relationship Id="rId49256803c019c19de" Type="http://schemas.openxmlformats.org/officeDocument/2006/relationships/hyperlink" Target="https://gd.eppo.int/taxon/GUIGLA/categorization" TargetMode="External"/><Relationship Id="rId70336803c019c22d9" Type="http://schemas.openxmlformats.org/officeDocument/2006/relationships/hyperlink" Target="https://gd.eppo.int/taxon/GUIGLA/photos" TargetMode="External"/><Relationship Id="rId24606803c019c3dd2" Type="http://schemas.openxmlformats.org/officeDocument/2006/relationships/hyperlink" Target="https://doi.org/10.2903/j.efsa.2018.5303" TargetMode="External"/><Relationship Id="rId22076803c019c440f" Type="http://schemas.openxmlformats.org/officeDocument/2006/relationships/hyperlink" Target="https://gd.eppo.int" TargetMode="External"/><Relationship Id="rId52796803c019c457f" Type="http://schemas.openxmlformats.org/officeDocument/2006/relationships/hyperlink" Target="https://doi.org/10.1111/j.1365-2338.1978.tb02759.x" TargetMode="External"/><Relationship Id="rId21706803c019c21b3" Type="http://schemas.openxmlformats.org/officeDocument/2006/relationships/image" Target="media/imgrId21706803c019c21b3.jpg"/><Relationship Id="rId40626803c019c349f" Type="http://schemas.openxmlformats.org/officeDocument/2006/relationships/image" Target="media/imgrId40626803c019c349f.jpg"/><Relationship Id="rId67896803c019c460d" Type="http://schemas.openxmlformats.org/officeDocument/2006/relationships/image" Target="media/imgrId67896803c019c460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