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Globodera rostochiensis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Globodera rostochiensis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(Wollenweber) Behrens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rostochiensis</w:t>
            </w:r>
            <w:r>
              <w:rPr>
                <w:rFonts w:ascii="Calibri" w:hAnsi="Calibri" w:eastAsia="Calibri" w:cs="Calibri"/>
                <w:color w:val="000000"/>
                <w:position w:val="-3"/>
                <w:sz w:val="22"/>
                <w:szCs w:val="22"/>
              </w:rPr>
              <w:t xml:space="preserve"> Wollenweber, </w:t>
            </w:r>
            <w:r>
              <w:rPr>
                <w:rFonts w:ascii="Calibri" w:hAnsi="Calibri" w:eastAsia="Calibri" w:cs="Calibri"/>
                <w:i/>
                <w:iCs/>
                <w:color w:val="000000"/>
                <w:position w:val="-3"/>
                <w:sz w:val="22"/>
                <w:szCs w:val="22"/>
              </w:rPr>
              <w:t xml:space="preserve">Heterodera schachtii rostochiensis</w:t>
            </w:r>
            <w:r>
              <w:rPr>
                <w:rFonts w:ascii="Calibri" w:hAnsi="Calibri" w:eastAsia="Calibri" w:cs="Calibri"/>
                <w:color w:val="000000"/>
                <w:position w:val="-3"/>
                <w:sz w:val="22"/>
                <w:szCs w:val="22"/>
              </w:rPr>
              <w:t xml:space="preserve"> Wollenweber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golden nematode, golden potato nematode, potato cyst nematode, yellow potato cyst nematode</w:t>
            </w:r>
            <w:hyperlink r:id="rId62926685262393f1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70946685262393f8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HETDRO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5757742" name="name50946685262394713" descr="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jpg"/>
                          <pic:cNvPicPr/>
                        </pic:nvPicPr>
                        <pic:blipFill>
                          <a:blip r:embed="rId55546685262394711" cstate="print"/>
                          <a:stretch>
                            <a:fillRect/>
                          </a:stretch>
                        </pic:blipFill>
                        <pic:spPr>
                          <a:xfrm>
                            <a:off x="0" y="0"/>
                            <a:ext cx="2160000" cy="1281600"/>
                          </a:xfrm>
                          <a:prstGeom prst="rect">
                            <a:avLst/>
                          </a:prstGeom>
                          <a:ln w="0">
                            <a:noFill/>
                          </a:ln>
                        </pic:spPr>
                      </pic:pic>
                    </a:graphicData>
                  </a:graphic>
                </wp:inline>
              </w:drawing>
            </w:r>
            <w:hyperlink r:id="rId5115668526239486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by Kühn (1881) of a cyst nematode associated with potato plants was considered to be </w:t>
      </w:r>
      <w:r>
        <w:rPr>
          <w:rFonts w:ascii="Calibri" w:hAnsi="Calibri" w:eastAsia="Calibri" w:cs="Calibri"/>
          <w:i/>
          <w:iCs/>
          <w:color w:val="000000"/>
          <w:sz w:val="22"/>
          <w:szCs w:val="22"/>
        </w:rPr>
        <w:t xml:space="preserve">Heterodera schachtii, </w:t>
      </w:r>
      <w:r>
        <w:rPr>
          <w:rFonts w:ascii="Calibri" w:hAnsi="Calibri" w:eastAsia="Calibri" w:cs="Calibri"/>
          <w:color w:val="000000"/>
          <w:sz w:val="22"/>
          <w:szCs w:val="22"/>
        </w:rPr>
        <w:t xml:space="preserve">the only cyst nematode which was known at this time on potato. Later, when potato cyst nematodes were more widely detected in Europe, many concluded that some </w:t>
      </w:r>
      <w:r>
        <w:rPr>
          <w:rFonts w:ascii="Calibri" w:hAnsi="Calibri" w:eastAsia="Calibri" w:cs="Calibri"/>
          <w:i/>
          <w:iCs/>
          <w:color w:val="000000"/>
          <w:sz w:val="22"/>
          <w:szCs w:val="22"/>
        </w:rPr>
        <w:t xml:space="preserve">H. schachtii</w:t>
      </w:r>
      <w:r>
        <w:rPr>
          <w:rFonts w:ascii="Calibri" w:hAnsi="Calibri" w:eastAsia="Calibri" w:cs="Calibri"/>
          <w:color w:val="000000"/>
          <w:sz w:val="22"/>
          <w:szCs w:val="22"/>
        </w:rPr>
        <w:t xml:space="preserve"> populations were specialized on potato. Wollenweber (1923) recognized morphological differences between nematodes parasitizing potato and those on sugar beet and described </w:t>
      </w:r>
      <w:r>
        <w:rPr>
          <w:rFonts w:ascii="Calibri" w:hAnsi="Calibri" w:eastAsia="Calibri" w:cs="Calibri"/>
          <w:i/>
          <w:iCs/>
          <w:color w:val="000000"/>
          <w:sz w:val="22"/>
          <w:szCs w:val="22"/>
        </w:rPr>
        <w:t xml:space="preserve">H. rostochiensis</w:t>
      </w:r>
      <w:r>
        <w:rPr>
          <w:rFonts w:ascii="Calibri" w:hAnsi="Calibri" w:eastAsia="Calibri" w:cs="Calibri"/>
          <w:color w:val="000000"/>
          <w:sz w:val="22"/>
          <w:szCs w:val="22"/>
        </w:rPr>
        <w:t xml:space="preserve"> as a new cyst nematode parasitizing potato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In 1973, a new species of potato cyst nematode (</w:t>
      </w:r>
      <w:r>
        <w:rPr>
          <w:rFonts w:ascii="Calibri" w:hAnsi="Calibri" w:eastAsia="Calibri" w:cs="Calibri"/>
          <w:i/>
          <w:iCs/>
          <w:color w:val="000000"/>
          <w:sz w:val="22"/>
          <w:szCs w:val="22"/>
        </w:rPr>
        <w:t xml:space="preserve">Heterodera pallida</w:t>
      </w:r>
      <w:r>
        <w:rPr>
          <w:rFonts w:ascii="Calibri" w:hAnsi="Calibri" w:eastAsia="Calibri" w:cs="Calibri"/>
          <w:color w:val="000000"/>
          <w:sz w:val="22"/>
          <w:szCs w:val="22"/>
        </w:rPr>
        <w:t xml:space="preserve">) was described (Stone, 1973a). Before then, most records and technical data refer to </w:t>
      </w:r>
      <w:r>
        <w:rPr>
          <w:rFonts w:ascii="Calibri" w:hAnsi="Calibri" w:eastAsia="Calibri" w:cs="Calibri"/>
          <w:i/>
          <w:iCs/>
          <w:color w:val="000000"/>
          <w:sz w:val="22"/>
          <w:szCs w:val="22"/>
        </w:rPr>
        <w:t xml:space="preserve">H. rostochiensis sensu lato</w:t>
      </w:r>
      <w:r>
        <w:rPr>
          <w:rFonts w:ascii="Calibri" w:hAnsi="Calibri" w:eastAsia="Calibri" w:cs="Calibri"/>
          <w:color w:val="000000"/>
          <w:sz w:val="22"/>
          <w:szCs w:val="22"/>
        </w:rPr>
        <w:t xml:space="preserve">, which included both species, so it is not always possible to determine which species was referred to in earlier publications.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is limited to plants of the Solanaceae family.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by far the most important host crop. On tomato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no economic damage has been reported (EFSA, 2019). Over 130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including their hybrids and weeds, have been identified as potential host plants, as well as a few other species of </w:t>
      </w:r>
      <w:r>
        <w:rPr>
          <w:rFonts w:ascii="Calibri" w:hAnsi="Calibri" w:eastAsia="Calibri" w:cs="Calibri"/>
          <w:i/>
          <w:iCs/>
          <w:color w:val="000000"/>
          <w:sz w:val="22"/>
          <w:szCs w:val="22"/>
        </w:rPr>
        <w:t xml:space="preserve">Datura, Hyoscyamus, Lycopersicon, Nicotiana, Physalis, Physochlaina, Salpiglossis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Saracha</w:t>
      </w:r>
      <w:r>
        <w:rPr>
          <w:rFonts w:ascii="Calibri" w:hAnsi="Calibri" w:eastAsia="Calibri" w:cs="Calibri"/>
          <w:color w:val="000000"/>
          <w:sz w:val="22"/>
          <w:szCs w:val="22"/>
        </w:rPr>
        <w:t xml:space="preserve">, all belonging to the Solanaceae family (Sullivan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w:t>
      </w:r>
      <w:r>
        <w:rPr>
          <w:rFonts w:ascii="Calibri" w:hAnsi="Calibri" w:eastAsia="Calibri" w:cs="Calibri"/>
          <w:color w:val="000000"/>
          <w:sz w:val="22"/>
          <w:szCs w:val="22"/>
        </w:rPr>
        <w:t xml:space="preserve"> have several different pathotypes (Kort, 1974). The pathotypes are characterized by the ability of the population to multiply on certain tuberous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clones and hybrids used in breeding, with a mixture of qualitative and quantitative resistances. Some of these pathotypes are recognized by their almost total inability to multiply on specific potato cultivars (single-gene resistance); for example, commonly grown resistant potato cultivars (based on gene H1 deriving from clones of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andigena</w:t>
      </w:r>
      <w:r>
        <w:rPr>
          <w:rFonts w:ascii="Calibri" w:hAnsi="Calibri" w:eastAsia="Calibri" w:cs="Calibri"/>
          <w:color w:val="000000"/>
          <w:sz w:val="22"/>
          <w:szCs w:val="22"/>
        </w:rPr>
        <w:t xml:space="preserve">) are resistant to pathotype Ro1 and Ro4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only. Other pathotypes show different levels of ability to multiply on different cultivars; the testing of this form of resistance is discussed by Mugniéry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Europe, Kort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proposed a scheme with five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pathotypes (Ro1-Ro5) and with three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pathotypes (Pa1-Pa3). In South America, Canto Saenz &amp; de Scurrah (1977) developed another scheme, recognizing more pathotypes. </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general acceptance, both pathotype schemes are considered insufficient for testing potato varieties for resistance to potato cyst nematodes. In Europe, it is generally accepted that only Pa1 and Ro1 are clearly separable pathotypes and the others are seen as overlapping populations. Nevertheless, the ‘European’ scheme is still used in many countries as it is the only available tool for the selection and assessment of PCN resistant potato cultivars as for example in EPPO Standard PM 3/68 (3) </w:t>
      </w:r>
      <w:r>
        <w:rPr>
          <w:rFonts w:ascii="Calibri" w:hAnsi="Calibri" w:eastAsia="Calibri" w:cs="Calibri"/>
          <w:i/>
          <w:iCs/>
          <w:color w:val="000000"/>
          <w:sz w:val="22"/>
          <w:szCs w:val="22"/>
        </w:rPr>
        <w:t xml:space="preserve">Testing of potato varieties to assess resistance to</w:t>
      </w:r>
      <w:r>
        <w:rPr>
          <w:rFonts w:ascii="Calibri" w:hAnsi="Calibri" w:eastAsia="Calibri" w:cs="Calibri"/>
          <w:color w:val="000000"/>
          <w:sz w:val="22"/>
          <w:szCs w:val="22"/>
        </w:rPr>
        <w:t xml:space="preserve"> Globodera rostochiensis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Globodera pallida (2021). In practice, field populations often contain mixtures of species which makes separation or characterization very difficult.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is in the Andes Mountains in South America from where they were introduced to Europe with potatoes, probably in the mid-19th century. From there, they were spread with seed potatoes to other areas. The present distribution covers temperate zones down to sea level and in the tropics at higher altitudes. In these areas, distribution is linked with that of the potato crop.</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microsatellite markers consistently observed high genetic diversity in Bolivian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populations, the postulated region of origin (Boucher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2013). Analysis of the mtDNA haplotype distribution of PCN populations from all over the world (Subbotin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confirmed this, and for each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 different centre of origin was suggested in the Andes.</w:t>
      </w:r>
    </w:p>
    <w:p>
      <w:r>
        <w:drawing>
          <wp:inline distT="0" distB="0" distL="0" distR="0">
            <wp:extent cx="6120000" cy="3067200"/>
            <wp:docPr id="46668121" name="name16756685262395a2b" descr="HETDR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RO_distribution_map.jpg"/>
                    <pic:cNvPicPr/>
                  </pic:nvPicPr>
                  <pic:blipFill>
                    <a:blip r:embed="rId26176685262395a2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Belarus, Belgium, Bosnia and Herzegovina, Bulgaria, Croatia, Cyprus, Czech Republic, Denmark, Estonia, Finland, France (mainland), Georgia, Germany, Greece (mainland, Kriti), Hungary, Ireland, Italy (mainland, Sicilia), Kazakhstan, Kyrgyzstan, Latvia, Lithuania, Luxembourg, Malta, Netherlands, Norway, Poland, Portugal (mainland, Azores, Madeira), Romania, Russia (Central Russia, Eastern Siberia, Far East, Northern Russia, Southern Russia, Western Siberia), Serbia, Slovakia, Slovenia, Spain (mainland, Islas Baleares, Islas Canárias), Sweden, Switzerland, Tunisia, Türkiye, Ukraine, United Kingdom (Channel Islands,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Kenya, Libya, Rwanda, South Africa, Tunisia,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(Guizhou, Sichuan, Yunnan), India (Himachal Pradesh, Jammu &amp; Kashmir, Tamil Nadu, Uttarakhand), Indonesia (Java, Sulawesi, Sumatra), Iran, Japan (Hokkaido, Kyushu), Kazakhstan, Kyrgyzstan, Lebanon, Oman, Pakistan, Philippines, Sri Lanka, Tajikistan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Newfoundland, Québec), Mexico, United States of America (New York)</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is a sedentary endoparasite. Second-stage juveniles (J2) hatch from eggs within cysts in the soil, under stimulus from host root exudates of Solanaceae, and penetrate the root behind the growing root tip and move into the cortical region. Reaching the pericycle, the J2 penetrates a single cell and injects secretions which induce the formation of a large, multinucleate feeding structure, a syncytium, formed by dissolution of adjacent cell walls. The nematode remains here for the rest of its development, as it passes through two more juvenile stages to become either male or female. Females swell and break through the root surface but remain attached. The vermiform males leave the root and are attracted to females that exude sex pheromones. Many males may surround each female and multiple matings occur. Males live only a few days. After copulation the females remain on the roots while 200-500 eggs develop within them. Females are white when they protrude from the root surface, but later pass through a golden yellow phase lasting 4-6 weeks. When they die and mature into cysts, their skin hardens and turns brown to become a protective cover around the eggs within. At this point they generally drop from the surface of the root into the soil. In temperate climate regions,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usually has one generation per year, however, several studies also describe the occurrence of a second generation, without the ‘obligatory’ diapause, such as Mwangi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in Kenya. The life cycle is completed in 40-60 days (Stelter, 1971; Stone, 1973b; Jones &amp; Jones, 1974, Subbotin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temperature has an influence on the development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It is adapted to develop at warmer temperatures than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Optimum hatching of the J2 from the eggs occurs between 15-27°C, hatching starts at 11°C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optimum reproduction is between 17.5-22.5°C (Jones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w:t>
      </w:r>
      <w:r>
        <w:rPr>
          <w:rFonts w:ascii="Calibri" w:hAnsi="Calibri" w:eastAsia="Calibri" w:cs="Calibri"/>
          <w:i/>
          <w:iCs/>
          <w:color w:val="000000"/>
          <w:sz w:val="22"/>
          <w:szCs w:val="22"/>
        </w:rPr>
        <w:t xml:space="preserve">G. rostochiensis pallida</w:t>
      </w:r>
      <w:r>
        <w:rPr>
          <w:rFonts w:ascii="Calibri" w:hAnsi="Calibri" w:eastAsia="Calibri" w:cs="Calibri"/>
          <w:color w:val="000000"/>
          <w:sz w:val="22"/>
          <w:szCs w:val="22"/>
        </w:rPr>
        <w:t xml:space="preserve"> hatches faster than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over a shorter period and has overall a lower amount of hatching than </w:t>
      </w:r>
      <w:r>
        <w:rPr>
          <w:rFonts w:ascii="Calibri" w:hAnsi="Calibri" w:eastAsia="Calibri" w:cs="Calibri"/>
          <w:i/>
          <w:iCs/>
          <w:color w:val="000000"/>
          <w:sz w:val="22"/>
          <w:szCs w:val="22"/>
        </w:rPr>
        <w:t xml:space="preserve">G. </w:t>
      </w:r>
      <w:r>
        <w:rPr>
          <w:rFonts w:ascii="Calibri" w:hAnsi="Calibri" w:eastAsia="Calibri" w:cs="Calibri"/>
          <w:i/>
          <w:iCs/>
          <w:color w:val="000000"/>
          <w:sz w:val="22"/>
          <w:szCs w:val="22"/>
        </w:rPr>
        <w:t xml:space="preserve">pallida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(Den Nijs and Lock, 1992;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Cysts can remain dormant for many years (20 years or more) in the absence of solanaceous hosts, whereas second-stage juveniles have a much shorter survival time (weeks) when no hosts are present. For many years, a natural decline of 30-35% per year was assumed. Recently, it has become known that the type of soil affects this decrease: In sandy and peaty soils, the average decline in the first year after potato cultivation is much higher than in marine clay and loamy soils (69% vs 26%). In marine clay and loamy soils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populations also declined slower than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(Been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caused by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rostochiensis</w:t>
      </w:r>
      <w:r>
        <w:rPr>
          <w:rFonts w:ascii="Calibri" w:hAnsi="Calibri" w:eastAsia="Calibri" w:cs="Calibri"/>
          <w:color w:val="000000"/>
          <w:sz w:val="22"/>
          <w:szCs w:val="22"/>
        </w:rPr>
        <w:t xml:space="preserve"> are not specific. Patches of poor growth occur generally in the crop, sometimes with stunting, yellowing, wilting or death of the foliage. The tuber size of infested plants can be reduced, even with minor symptoms on the foliage. Roots display extensive branching, causing more adherence of the soil to the root system. In case of heavy infestation, the crop dies prematurely.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and motile, 468 (425 – 505) µm long, having a well-developed stylet 21.8 (19-23) µm with small and rounded knobs of 3-4 µm width sometimes a bit anteriorly flattened and a pointed tail. Males are similar in general appearance, on average about 1200 µm long with a short and bluntly rounded tail terminus. Females are white or creamy coloured and spherical with a projecting neck, diameter approximately 445 µm (Stone, 1973a; 1973b, Brzeski, 1998). The cysts are smoothly rounded, no terminal cone, with a tanned skin. Vulval region consists of a single circumfenestration. The number of cuticular ridges between anus and vulva ranges from 16 - 31, generally higher than 14. Granek’s ratio is 1.3 - 9.5, generally higher than 3 (Golden &amp; Ellington, 1972; Baldwin &amp; Mundo-Ocampo, 1991; Flemming and Powers, 1998).</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the three similar PCN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ellingtonae</w:t>
      </w:r>
      <w:r>
        <w:rPr>
          <w:rFonts w:ascii="Calibri" w:hAnsi="Calibri" w:eastAsia="Calibri" w:cs="Calibri"/>
          <w:color w:val="000000"/>
          <w:sz w:val="22"/>
          <w:szCs w:val="22"/>
        </w:rPr>
        <w:t xml:space="preserve"> can only be done by well-trained persons, considering the high intraspecific variation and overlap between the species. Morphological as well as morphometric characteristics, including the number of cuticular ridges between anus and fenestra, Granek’s ratio, stylet length and shape of stylet knobs, need to be examined.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as it has yellow coloured rather than white females, a shorter J2 stylet length (22 vs 24 µm), narrower stylet knob (3-4 vs. 4-5 µm wide) and a different stylet knob shape (small and rounded rather than robust and square-hooked).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9/26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Globodera pallida</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Globodera rostochiensis (EPPO, 2018),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and PM 3/75 Globodera rostochiensis </w:t>
      </w:r>
      <w:r>
        <w:rPr>
          <w:rFonts w:ascii="Calibri" w:hAnsi="Calibri" w:eastAsia="Calibri" w:cs="Calibri"/>
          <w:i/>
          <w:iCs/>
          <w:color w:val="000000"/>
          <w:sz w:val="22"/>
          <w:szCs w:val="22"/>
        </w:rPr>
        <w:t xml:space="preserve">and</w:t>
      </w:r>
      <w:r>
        <w:rPr>
          <w:rFonts w:ascii="Calibri" w:hAnsi="Calibri" w:eastAsia="Calibri" w:cs="Calibri"/>
          <w:color w:val="000000"/>
          <w:sz w:val="22"/>
          <w:szCs w:val="22"/>
        </w:rPr>
        <w:t xml:space="preserve"> Globodera pallida: </w:t>
      </w:r>
      <w:r>
        <w:rPr>
          <w:rFonts w:ascii="Calibri" w:hAnsi="Calibri" w:eastAsia="Calibri" w:cs="Calibri"/>
          <w:i/>
          <w:iCs/>
          <w:color w:val="000000"/>
          <w:sz w:val="22"/>
          <w:szCs w:val="22"/>
        </w:rPr>
        <w:t xml:space="preserve">sampling soil attached to ware potato tubers for detection prior to export and at import</w:t>
      </w:r>
      <w:r>
        <w:rPr>
          <w:rFonts w:ascii="Calibri" w:hAnsi="Calibri" w:eastAsia="Calibri" w:cs="Calibri"/>
          <w:color w:val="000000"/>
          <w:sz w:val="22"/>
          <w:szCs w:val="22"/>
        </w:rPr>
        <w:t xml:space="preserve"> (EPPO, 2014). Detection of the young cysts by lifting potato plants is only possible for a short period when females mature into cysts. When inspected too late, cysts can easily fall off when lifting the plants. Females and young cysts are just visible to the naked eye and look like tiny yellow or brown pin-heads on the root surface. Low-level infestations are very difficult to detect visually, they cause no patchy growth of the potato crop. Sufficient soil sampling in a systematic manner is necessary to ensure that no infestation is present in the field. In addition, for detection or surveys, sampling of tare soil or the soil brushed off from the potatoes can also be done (Viaene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(Southey, 1986) and identification should be carried out according to EPPO Standards PM 7/119 (EPPO, 2013) and PM 7/40 </w:t>
      </w:r>
      <w:r>
        <w:rPr>
          <w:rFonts w:ascii="Calibri" w:hAnsi="Calibri" w:eastAsia="Calibri" w:cs="Calibri"/>
          <w:i/>
          <w:iCs/>
          <w:color w:val="000000"/>
          <w:sz w:val="22"/>
          <w:szCs w:val="22"/>
        </w:rPr>
        <w:t xml:space="preserve">Diagnostic protocol for </w:t>
      </w:r>
      <w:r>
        <w:rPr>
          <w:rFonts w:ascii="Calibri" w:hAnsi="Calibri" w:eastAsia="Calibri" w:cs="Calibri"/>
          <w:color w:val="000000"/>
          <w:sz w:val="22"/>
          <w:szCs w:val="22"/>
        </w:rPr>
        <w:t xml:space="preserve">Globodera rostochiensis</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 pallida (EPPO, 2022) providing all relevant morphological information and molecular methods for an accurate identification. Combining morphological and molecular methods is highly recommended, especially when new introductions are suspected. Molecular methods as PCR, real-time PCR, HTS or Sanger sequencing must be used intelligently, taking into account the distinctive features of the test or method. For high-throughput diagnosis it is possible to use the real-time PCR method of Reid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detection and identification of floats from the extraction machine. DNA-based methods do not discriminate between dead or live eggs and juveniles. Molecular determination of the viability combined with identification can be done with the RNA-specific real-time PCR of Beniers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has limited potential for natural movement; second-stage juveniles can move short distances in the soil when attracted towards roots, at most only 1m per year and dry cyst can be dispersed to adjoining fields by wind or water. The main routes of spread are infested seed potatoes; movement of contaminated soil on non-host plants such as plants for planting, nursery stock and flower bulbs; farm machinery, ware potatoes or any other plant parts intended for consumption or processing. The latter are only important if there is a risk of them being planted or if care is not taken with disposal of waste soil. Soil as such and tare soil is also a pathway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cyst nematodes are major pests of the potato crop in cool and temperate areas, losses have been estimated within Europe at 9% of total potato production; and in other potato growing areas where less or no control strategies are used, almost total losses can occur (Turner and Subbotin, 2013). The amount of damage, particularly in relation to the weight of tubers produced, is closely related to the number of nematode eggs per unit of soil. It has been estimated that approximately 2 tonnes/ha of potatoes are lost for every 20 eggs/g soil (Brown, 1969). Up to 80% of the crop can be lost when nematode populations increase to very high levels due to repeated cultivation of potatoes. The damage threshold can be as low as 1-2 eggs/g soil, depending on environmental conditions and level of tolerance of the grown cultivar. In addition to yield loss, there is also an indirect impact due to costs for control and phytosanitary measures. Online decision tools as ‘Nemadecide’ were developed to help growers to keep PCN at low, economically acceptable density levels (Been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is traditionally by crop rotation, as it is recognized that after several years in the absence of potato cultivation the population of nematodes will be reduced to below the damage and detection thresholds; 6-7 years without potatoes is a common recommendation. Other more recent field management practices for limiting the population are; use of resistant potato crops and trap crops as sticky nightshade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biofumigation techniques, inundation or early destruction of susceptible potato crops before the life cycle has completed. In addition, good farm hygiene, including cleaning equipment and machinery, and reduction of growth of volunteer potato plants in the field is necessary (EPPO, 2020), in combination with regular testing for the presence of PCN and the use of suitable potato cultivars for effective deployment of the resistance (Molendijk and de Jongh,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last decade great progress had been made in the breeding of resistant potato varieties. Resistance to</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has been attributed to a number of genes, which confer partial </w:t>
      </w:r>
      <w:r>
        <w:rPr>
          <w:rFonts w:ascii="Calibri" w:hAnsi="Calibri" w:eastAsia="Calibri" w:cs="Calibri"/>
          <w:i/>
          <w:iCs/>
          <w:color w:val="000000"/>
          <w:sz w:val="22"/>
          <w:szCs w:val="22"/>
        </w:rPr>
        <w:t xml:space="preserve">(Gro1.2, Gro1.3, Gro1.4, Grp1)</w:t>
      </w:r>
      <w:r>
        <w:rPr>
          <w:rFonts w:ascii="Calibri" w:hAnsi="Calibri" w:eastAsia="Calibri" w:cs="Calibri"/>
          <w:color w:val="000000"/>
          <w:sz w:val="22"/>
          <w:szCs w:val="22"/>
        </w:rPr>
        <w:t xml:space="preserve"> or near absolute </w:t>
      </w:r>
      <w:r>
        <w:rPr>
          <w:rFonts w:ascii="Calibri" w:hAnsi="Calibri" w:eastAsia="Calibri" w:cs="Calibri"/>
          <w:i/>
          <w:iCs/>
          <w:color w:val="000000"/>
          <w:sz w:val="22"/>
          <w:szCs w:val="22"/>
        </w:rPr>
        <w:t xml:space="preserve">(H1, Gro1, GroVI)</w:t>
      </w:r>
      <w:r>
        <w:rPr>
          <w:rFonts w:ascii="Calibri" w:hAnsi="Calibri" w:eastAsia="Calibri" w:cs="Calibri"/>
          <w:color w:val="000000"/>
          <w:sz w:val="22"/>
          <w:szCs w:val="22"/>
        </w:rPr>
        <w:t xml:space="preserve"> resistance (Finkers-Tomzcak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H1 gene has been widely introgressed into many commercial cultivars.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in tomato crops is chiefly by soil fumigants.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is already established in the EPPO region and new introductions would have a high probability of establishing a viable population in areas where potatoes are grown (EFSA, 2012).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still seems to be the dominant species throughout Europe, but its incidence is decreasing due to the use of resistant potato cultivars (Den Nijs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 Camacho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2020)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is still essential that areas of seed potato production are kept as free as possible from this nematode.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introduction of new virulent populations by import of non-European populations, particularly South American populations, would pose a threat to the use of resistant cultivars as major tool in controlling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The inability to precisely link genetic variability to the virulence characteristics of a specific nematode population, and quickly identify the virulence status of intercepted populations for inspection purposes, strengthens the need to prevent their introduction (Hockland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New virulent populations can also arise from selection pressure as effect of intensive cropping presents risks, as recently occurred in Germany and the Netherlands for the closely related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(EFSA, 2020). There are also indications of virulent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populations occurring in the Netherlands, which is being further investigated within the Dutch project ‘Rostofit’.</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plants for planting, soil associated with potatoes, as tare soil, and root crops for packing or processing is mostly not regulated or only rarely regulated. Combined with the increasing use of the same machinery on multiple farms e.g. between sugar beet and potato farms and the renting of land that belongs to different farms increases the risk of the spread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Recommendations are available in the new EPPO Standard PM 3/92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2021) to better address the risk associated with this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prevent the introduction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to areas where it is not already established include soil sampling surveys and regulations concerning movement of seed potatoes, nursery stock, flower bulbs and soil. These apply nationally as well as internationally.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potatoes (except micropropagative material and minitubers) and ware potatoes to be imported from third countries. In this Standard, seed potatoes should come from fields free from viable cysts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according to PM 9/26. Ware potatoes from non-EPPO countries where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occur should come, under transitional arrangements, from a pest free area and origin from a pest-free potato production and distribution system for the respective pests according to EPPO Standard PM 3/61 (EPPO, 2019), and confirmation by inspection or testing of tubers on import that the respective pest(s) does not occur. </w:t>
      </w:r>
    </w:p>
    <w:p>
      <w:pPr>
        <w:widowControl w:val="on"/>
        <w:pBdr/>
        <w:spacing w:before="220" w:after="220" w:line="240" w:lineRule="auto"/>
        <w:ind w:left="0" w:right="0"/>
        <w:jc w:val="both"/>
      </w:pPr>
      <w:r>
        <w:rPr>
          <w:rFonts w:ascii="Calibri" w:hAnsi="Calibri" w:eastAsia="Calibri" w:cs="Calibri"/>
          <w:color w:val="000000"/>
          <w:sz w:val="22"/>
          <w:szCs w:val="22"/>
        </w:rPr>
        <w:t xml:space="preserve">For several EPPO countries, seed potatoes, the major pathway for entry, is already closed. For example, in the EU, the implementation regulation 2019/2072 prohibits import of seed potatoes and plants for planting of stolon- 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safeguards during transit of consignments could be washing of tubers and flower bulbs to remove soil, although it should be noted that cysts can remain embedded in tubers, especially in the eyes.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are described in the national regulatory control system PM 9/26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2017). The regulatory control system was developed for potato but can be applied to other crops as well, with possible slight modifications depending on the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JG &amp; Mundo-Ocampo M (1991) Heteroderinae, cyst- and non-cyst-forming nematodes. In: </w:t>
      </w:r>
      <w:r>
        <w:rPr>
          <w:rFonts w:ascii="Calibri" w:hAnsi="Calibri" w:eastAsia="Calibri" w:cs="Calibri"/>
          <w:i/>
          <w:iCs/>
          <w:color w:val="000000"/>
          <w:sz w:val="22"/>
          <w:szCs w:val="22"/>
        </w:rPr>
        <w:t xml:space="preserve">Manual of Agricultural Nematology</w:t>
      </w:r>
      <w:r>
        <w:rPr>
          <w:rFonts w:ascii="Calibri" w:hAnsi="Calibri" w:eastAsia="Calibri" w:cs="Calibri"/>
          <w:color w:val="000000"/>
          <w:sz w:val="22"/>
          <w:szCs w:val="22"/>
        </w:rPr>
        <w:t xml:space="preserve"> (Ed. Nickle WR), pp. 275–362. Marcel Dekker, New York, NY (US).</w:t>
      </w:r>
    </w:p>
    <w:p>
      <w:pPr>
        <w:widowControl w:val="on"/>
        <w:pBdr/>
        <w:spacing w:before="220" w:after="220" w:line="240" w:lineRule="auto"/>
        <w:ind w:left="0" w:right="0"/>
        <w:jc w:val="left"/>
      </w:pPr>
      <w:r>
        <w:rPr>
          <w:rFonts w:ascii="Calibri" w:hAnsi="Calibri" w:eastAsia="Calibri" w:cs="Calibri"/>
          <w:color w:val="000000"/>
          <w:sz w:val="22"/>
          <w:szCs w:val="22"/>
        </w:rPr>
        <w:t xml:space="preserve">Been TH, Schomaker CH &amp; Molendijk LPG (2006) NemaDecide, a decision support system for the management of potato cyst nematodes. In Proceedings of the 28th International Symposium of the European Society of Nematologists, 5-9 June, Blagoevgrad (BG). </w:t>
      </w:r>
    </w:p>
    <w:p>
      <w:pPr>
        <w:widowControl w:val="on"/>
        <w:pBdr/>
        <w:spacing w:before="220" w:after="220" w:line="240" w:lineRule="auto"/>
        <w:ind w:left="0" w:right="0"/>
        <w:jc w:val="left"/>
      </w:pPr>
      <w:r>
        <w:rPr>
          <w:rFonts w:ascii="Calibri" w:hAnsi="Calibri" w:eastAsia="Calibri" w:cs="Calibri"/>
          <w:color w:val="000000"/>
          <w:sz w:val="22"/>
          <w:szCs w:val="22"/>
        </w:rPr>
        <w:t xml:space="preserve">Been T, Schomaker C &amp; Molendijk L (2019) Natural decline of potato cyst nematodes in the Netherlands.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55-58.</w:t>
      </w:r>
    </w:p>
    <w:p>
      <w:pPr>
        <w:widowControl w:val="on"/>
        <w:pBdr/>
        <w:spacing w:before="220" w:after="220" w:line="240" w:lineRule="auto"/>
        <w:ind w:left="0" w:right="0"/>
        <w:jc w:val="left"/>
      </w:pPr>
      <w:r>
        <w:rPr>
          <w:rFonts w:ascii="Calibri" w:hAnsi="Calibri" w:eastAsia="Calibri" w:cs="Calibri"/>
          <w:color w:val="000000"/>
          <w:sz w:val="22"/>
          <w:szCs w:val="22"/>
        </w:rPr>
        <w:t xml:space="preserve">Behrens E (1975)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Skarbilovich, 1959 an independent genus in the subfamily Heteroderinae Skarbilovich, 1949 (Nematoda: Heteroderidae)]. </w:t>
      </w:r>
      <w:r>
        <w:rPr>
          <w:rFonts w:ascii="Calibri" w:hAnsi="Calibri" w:eastAsia="Calibri" w:cs="Calibri"/>
          <w:i/>
          <w:iCs/>
          <w:color w:val="000000"/>
          <w:sz w:val="22"/>
          <w:szCs w:val="22"/>
        </w:rPr>
        <w:t xml:space="preserve">Vortragstagung zu Aktuellen Problemen der Phytonematologie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12-26. </w:t>
      </w:r>
    </w:p>
    <w:p>
      <w:pPr>
        <w:widowControl w:val="on"/>
        <w:pBdr/>
        <w:spacing w:before="220" w:after="220" w:line="240" w:lineRule="auto"/>
        <w:ind w:left="0" w:right="0"/>
        <w:jc w:val="left"/>
      </w:pPr>
      <w:r>
        <w:rPr>
          <w:rFonts w:ascii="Calibri" w:hAnsi="Calibri" w:eastAsia="Calibri" w:cs="Calibri"/>
          <w:color w:val="000000"/>
          <w:sz w:val="22"/>
          <w:szCs w:val="22"/>
        </w:rPr>
        <w:t xml:space="preserve">Beniers JE, Been TH, Mendes O, van Gent-Pelzer MPE &amp; van der Lee TAJ, 2014. Quantification of viable eggs of the potato cyst nematodes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using either trehalose or RNA-specific Real-time PCR.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1219-1232.</w:t>
      </w:r>
    </w:p>
    <w:p>
      <w:pPr>
        <w:widowControl w:val="on"/>
        <w:pBdr/>
        <w:spacing w:before="220" w:after="220" w:line="240" w:lineRule="auto"/>
        <w:ind w:left="0" w:right="0"/>
        <w:jc w:val="left"/>
      </w:pPr>
      <w:r>
        <w:rPr>
          <w:rFonts w:ascii="Calibri" w:hAnsi="Calibri" w:eastAsia="Calibri" w:cs="Calibri"/>
          <w:color w:val="000000"/>
          <w:sz w:val="22"/>
          <w:szCs w:val="22"/>
        </w:rPr>
        <w:t xml:space="preserve">Boucher AC, Mimee B, Montarry J, Bardou-Valette S, Belair G, Moffett P &amp; Grenier E (2013) Genetic diversity of the golden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determination of the origin of populations in Quebec, Canada. </w:t>
      </w:r>
      <w:r>
        <w:rPr>
          <w:rFonts w:ascii="Calibri" w:hAnsi="Calibri" w:eastAsia="Calibri" w:cs="Calibri"/>
          <w:i/>
          <w:iCs/>
          <w:color w:val="000000"/>
          <w:sz w:val="22"/>
          <w:szCs w:val="22"/>
        </w:rPr>
        <w:t xml:space="preserve">Molecular Phylogenetics and Evolution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75-82.</w:t>
      </w:r>
    </w:p>
    <w:p>
      <w:pPr>
        <w:widowControl w:val="on"/>
        <w:pBdr/>
        <w:spacing w:before="220" w:after="220" w:line="240" w:lineRule="auto"/>
        <w:ind w:left="0" w:right="0"/>
        <w:jc w:val="left"/>
      </w:pPr>
      <w:r>
        <w:rPr>
          <w:rFonts w:ascii="Calibri" w:hAnsi="Calibri" w:eastAsia="Calibri" w:cs="Calibri"/>
          <w:color w:val="000000"/>
          <w:sz w:val="22"/>
          <w:szCs w:val="22"/>
        </w:rPr>
        <w:t xml:space="preserve">Brzeski MW (1998) Nematodes of Tylenchina in Poland and Temperate Europe, pp 397 (234-238). Muzeum I Instytut Zoologii PAN, Warsaw (PL).</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EB (1969) Assessment of the damage caused to potatoes by potato cyst eelworm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493-502. </w:t>
      </w:r>
    </w:p>
    <w:p>
      <w:pPr>
        <w:widowControl w:val="on"/>
        <w:pBdr/>
        <w:spacing w:before="220" w:after="220" w:line="240" w:lineRule="auto"/>
        <w:ind w:left="0" w:right="0"/>
        <w:jc w:val="left"/>
      </w:pPr>
      <w:r>
        <w:rPr>
          <w:rFonts w:ascii="Calibri" w:hAnsi="Calibri" w:eastAsia="Calibri" w:cs="Calibri"/>
          <w:color w:val="000000"/>
          <w:sz w:val="22"/>
          <w:szCs w:val="22"/>
        </w:rPr>
        <w:t xml:space="preserve">Camacho MJ, de Andrade E, Mota M, Nobrega F, Vicente C, Rusinque L &amp; Lurdes Inacio M (2020) Potato Cyst Nematodes: Geographical distribution, phylogenetic relationships and integrated pest management outcomes in Portugal.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606178.</w:t>
      </w:r>
      <w:r>
        <w:rPr>
          <w:rFonts w:ascii="Calibri" w:hAnsi="Calibri" w:eastAsia="Calibri" w:cs="Calibri"/>
          <w:b/>
          <w:bCs/>
          <w:color w:val="000000"/>
          <w:sz w:val="22"/>
          <w:szCs w:val="22"/>
        </w:rPr>
        <w:t xml:space="preserve"> </w:t>
      </w:r>
      <w:hyperlink r:id="rId85436685262396c18" w:history="1">
        <w:r>
          <w:rPr>
            <w:rFonts w:ascii="Calibri" w:hAnsi="Calibri" w:eastAsia="Calibri" w:cs="Calibri"/>
            <w:color w:val="0000CC"/>
            <w:sz w:val="22"/>
            <w:szCs w:val="22"/>
            <w:u w:val="single"/>
          </w:rPr>
          <w:t xml:space="preserve">https://doi.org/10.3389/fpls.2020.606178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&amp; Mayer de Scurrah M (1978) Races of potato cyst nematode in the Andean region and a new system of classification.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LJFM &amp; Lock CAM (1992) Differential hatching of the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G</w:t>
      </w:r>
      <w:r>
        <w:rPr>
          <w:rFonts w:ascii="Calibri" w:hAnsi="Calibri" w:eastAsia="Calibri" w:cs="Calibri"/>
          <w:i/>
          <w:iCs/>
          <w:color w:val="000000"/>
          <w:sz w:val="22"/>
          <w:szCs w:val="22"/>
        </w:rPr>
        <w:t xml:space="preserve">. pallida</w:t>
      </w:r>
      <w:r>
        <w:rPr>
          <w:rFonts w:ascii="Calibri" w:hAnsi="Calibri" w:eastAsia="Calibri" w:cs="Calibri"/>
          <w:color w:val="000000"/>
          <w:sz w:val="22"/>
          <w:szCs w:val="22"/>
        </w:rPr>
        <w:t xml:space="preserve"> in root diffusates and water of differing ionic composition. </w:t>
      </w:r>
      <w:r>
        <w:rPr>
          <w:rFonts w:ascii="Calibri" w:hAnsi="Calibri" w:eastAsia="Calibri" w:cs="Calibri"/>
          <w:i/>
          <w:iCs/>
          <w:color w:val="000000"/>
          <w:sz w:val="22"/>
          <w:szCs w:val="22"/>
        </w:rPr>
        <w:t xml:space="preserve">Netherlands Journal of Plant Pathology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117-128.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 van Heese E &amp; van Sabben M (2019) Q-nematodes in potato: official findings of cyst and root knot nematodes in potato in The Netherlands over the last decade.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symposium of Potato Cyst Nematode Management.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(2012) EFSA Panel on Plant Health (PLH); Scientific Opinion on the risks to plant health posed by European versus non-European populations of the potato cyst nematodes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2644, 71 pp. </w:t>
      </w:r>
      <w:hyperlink r:id="rId72326685262396e37" w:history="1">
        <w:r>
          <w:rPr>
            <w:rFonts w:ascii="Calibri" w:hAnsi="Calibri" w:eastAsia="Calibri" w:cs="Calibri"/>
            <w:color w:val="0000CC"/>
            <w:sz w:val="22"/>
            <w:szCs w:val="22"/>
            <w:u w:val="single"/>
          </w:rPr>
          <w:t xml:space="preserve">https://doi/org/10.2903/j.efsa.2012.2644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EFSA supporting publication EN-1566. </w:t>
      </w:r>
      <w:hyperlink r:id="rId27756685262396ea9" w:history="1">
        <w:r>
          <w:rPr>
            <w:rFonts w:ascii="Calibri" w:hAnsi="Calibri" w:eastAsia="Calibri" w:cs="Calibri"/>
            <w:color w:val="0000CC"/>
            <w:sz w:val="22"/>
            <w:szCs w:val="22"/>
            <w:u w:val="single"/>
          </w:rPr>
          <w:t xml:space="preserve">https://doi/org/10.2903/sp.efsa.2019.EN-1566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 (1)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PM3/75 (1)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sampling soil attached to ware potato tubers for detection prior to export and import.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44</w:t>
      </w:r>
      <w:r>
        <w:rPr>
          <w:rFonts w:ascii="Calibri" w:hAnsi="Calibri" w:eastAsia="Calibri" w:cs="Calibri"/>
          <w:color w:val="000000"/>
          <w:sz w:val="22"/>
          <w:szCs w:val="22"/>
        </w:rPr>
        <w:t xml:space="preserve">, 316-317.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9/26 (1) National regulatory control system for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516-532.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3/089(1)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372-382. Available at </w:t>
      </w:r>
      <w:hyperlink r:id="rId4252668526239718f"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Standard PM3/68 (2) Testing of potato varieties to assess resistance to Globodera rostochiensis and Globodera pallida.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7/40(5)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286-313.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(2007) Council Directive 2007/33/EC of 11 June 2007 on the control of potato cyst nematodes and repealing Directive 69/465/EEC. </w:t>
      </w:r>
      <w:r>
        <w:rPr>
          <w:rFonts w:ascii="Calibri" w:hAnsi="Calibri" w:eastAsia="Calibri" w:cs="Calibri"/>
          <w:i/>
          <w:iCs/>
          <w:color w:val="000000"/>
          <w:sz w:val="22"/>
          <w:szCs w:val="22"/>
        </w:rPr>
        <w:t xml:space="preserve">Official Journal of the European Union </w:t>
      </w:r>
      <w:r>
        <w:rPr>
          <w:rFonts w:ascii="Calibri" w:hAnsi="Calibri" w:eastAsia="Calibri" w:cs="Calibri"/>
          <w:color w:val="000000"/>
          <w:sz w:val="22"/>
          <w:szCs w:val="22"/>
        </w:rPr>
        <w:t xml:space="preserve">L 156, p. 12-22. Available at </w:t>
      </w:r>
      <w:hyperlink r:id="rId888266852623972b3" w:history="1">
        <w:r>
          <w:rPr>
            <w:rFonts w:ascii="Calibri" w:hAnsi="Calibri" w:eastAsia="Calibri" w:cs="Calibri"/>
            <w:color w:val="0000CC"/>
            <w:sz w:val="22"/>
            <w:szCs w:val="22"/>
            <w:u w:val="single"/>
          </w:rPr>
          <w:t xml:space="preserve">https://eur-lex.europa.eu/legal-content/EN/ALL/?uri=CELEX:32007L0033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Finckers-Tomczak A, Bakker E, de Boer J, van der Vossen E, Achenbach U, Golas T, Suryaningrat S, Smant G, Bakker J &amp; Goverse A (2011) Comparative sequence analysis of the potato cyst nematode resistance locus </w:t>
      </w:r>
      <w:r>
        <w:rPr>
          <w:rFonts w:ascii="Calibri" w:hAnsi="Calibri" w:eastAsia="Calibri" w:cs="Calibri"/>
          <w:i/>
          <w:iCs/>
          <w:color w:val="000000"/>
          <w:sz w:val="22"/>
          <w:szCs w:val="22"/>
        </w:rPr>
        <w:t xml:space="preserve">H1 </w:t>
      </w:r>
      <w:r>
        <w:rPr>
          <w:rFonts w:ascii="Calibri" w:hAnsi="Calibri" w:eastAsia="Calibri" w:cs="Calibri"/>
          <w:color w:val="000000"/>
          <w:sz w:val="22"/>
          <w:szCs w:val="22"/>
        </w:rPr>
        <w:t xml:space="preserve">reveals a major lack of co-linearity between three haplotypes in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Theoretical and Applied Genetics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595-608.</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&amp; Ellington DMS (1972) Redescription of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(Nematoda: Heteroderidae) with a key and notes on closely related species. </w:t>
      </w:r>
      <w:r>
        <w:rPr>
          <w:rFonts w:ascii="Calibri" w:hAnsi="Calibri" w:eastAsia="Calibri" w:cs="Calibri"/>
          <w:i/>
          <w:iCs/>
          <w:color w:val="000000"/>
          <w:sz w:val="22"/>
          <w:szCs w:val="22"/>
        </w:rPr>
        <w:t xml:space="preserve">Proceedings of the Helminthological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64-78.</w:t>
      </w:r>
    </w:p>
    <w:p>
      <w:pPr>
        <w:widowControl w:val="on"/>
        <w:pBdr/>
        <w:spacing w:before="220" w:after="220" w:line="240" w:lineRule="auto"/>
        <w:ind w:left="0" w:right="0"/>
        <w:jc w:val="left"/>
      </w:pPr>
      <w:r>
        <w:rPr>
          <w:rFonts w:ascii="Calibri" w:hAnsi="Calibri" w:eastAsia="Calibri" w:cs="Calibri"/>
          <w:color w:val="000000"/>
          <w:sz w:val="22"/>
          <w:szCs w:val="22"/>
        </w:rPr>
        <w:t xml:space="preserve">Hockland S, Niere B, Grenier E, Blok V, Phillips M, Den Nijs L, Anthoine G, Pickup J &amp;Viaene N (2012) An evaluation of the implications of virulence in non-European populations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for potato cultivation in Europe.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FGW &amp; Jones MG (1974) Pests of field crops, 448 pp. Arnold, London, UK. 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Koehler A-K, Trnka M, Balek J, Challinor AJ, Atkinson HJ &amp; Urwin P (2017) Climate change is predicted to alter the current pest status of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Global Change Biolology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4497-4507. </w:t>
      </w:r>
    </w:p>
    <w:p>
      <w:pPr>
        <w:widowControl w:val="on"/>
        <w:pBdr/>
        <w:spacing w:before="220" w:after="220" w:line="240" w:lineRule="auto"/>
        <w:ind w:left="0" w:right="0"/>
        <w:jc w:val="left"/>
      </w:pPr>
      <w:r>
        <w:rPr>
          <w:rFonts w:ascii="Calibri" w:hAnsi="Calibri" w:eastAsia="Calibri" w:cs="Calibri"/>
          <w:color w:val="000000"/>
          <w:sz w:val="22"/>
          <w:szCs w:val="22"/>
        </w:rPr>
        <w:t xml:space="preserve">Kaczmarek A, MacKenzie K, Kettle H &amp; Blok V (2014) Influence of soil temperature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396-405.</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Ross H, Rumpenhorst HJ &amp; Stone AR (1977) An international scheme for the identification of pathotypes of potato cyst nematodes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333-339. </w:t>
      </w:r>
    </w:p>
    <w:p>
      <w:pPr>
        <w:widowControl w:val="on"/>
        <w:pBdr/>
        <w:spacing w:before="220" w:after="220" w:line="240" w:lineRule="auto"/>
        <w:ind w:left="0" w:right="0"/>
        <w:jc w:val="left"/>
      </w:pPr>
      <w:r>
        <w:rPr>
          <w:rFonts w:ascii="Calibri" w:hAnsi="Calibri" w:eastAsia="Calibri" w:cs="Calibri"/>
          <w:color w:val="000000"/>
          <w:sz w:val="22"/>
          <w:szCs w:val="22"/>
        </w:rPr>
        <w:t xml:space="preserve">Kühn (1881) Die Ergebnisse der Versuche zur Ermittelung der Ursache der Rübenmüdigkeit und zur Erforschung der Natur der Nematoden. </w:t>
      </w:r>
      <w:r>
        <w:rPr>
          <w:rFonts w:ascii="Calibri" w:hAnsi="Calibri" w:eastAsia="Calibri" w:cs="Calibri"/>
          <w:i/>
          <w:iCs/>
          <w:color w:val="000000"/>
          <w:sz w:val="22"/>
          <w:szCs w:val="22"/>
        </w:rPr>
        <w:t xml:space="preserve">Berichte aus dem physiologischen Laboratorium und der Versuchsanstalt des landwirthschaftlichen Instituts der Universität Halle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1-153.</w:t>
      </w:r>
    </w:p>
    <w:p>
      <w:pPr>
        <w:widowControl w:val="on"/>
        <w:pBdr/>
        <w:spacing w:before="220" w:after="220" w:line="240" w:lineRule="auto"/>
        <w:ind w:left="0" w:right="0"/>
        <w:jc w:val="left"/>
      </w:pPr>
      <w:r>
        <w:rPr>
          <w:rFonts w:ascii="Calibri" w:hAnsi="Calibri" w:eastAsia="Calibri" w:cs="Calibri"/>
          <w:color w:val="000000"/>
          <w:sz w:val="22"/>
          <w:szCs w:val="22"/>
        </w:rPr>
        <w:t xml:space="preserve">Molendijk LPG &amp; de Jongh E (2018) Beheersing van aardappelmoeheid in de akkerbouw: Een update! Alles over aardappelmoeheid (AM): achtergronden, regelgeving, bemonstering, bestrijding en beheersing. </w:t>
      </w:r>
      <w:hyperlink r:id="rId35526685262397727" w:history="1">
        <w:r>
          <w:rPr>
            <w:rFonts w:ascii="Calibri" w:hAnsi="Calibri" w:eastAsia="Calibri" w:cs="Calibri"/>
            <w:color w:val="0000CC"/>
            <w:sz w:val="22"/>
            <w:szCs w:val="22"/>
            <w:u w:val="single"/>
          </w:rPr>
          <w:t xml:space="preserve">https://edepot.wur.nl/517931</w:t>
        </w:r>
      </w:hyperlink>
      <w:r>
        <w:rPr>
          <w:rFonts w:ascii="Calibri" w:hAnsi="Calibri" w:eastAsia="Calibri" w:cs="Calibri"/>
          <w:color w:val="000000"/>
          <w:sz w:val="22"/>
          <w:szCs w:val="22"/>
        </w:rPr>
        <w:t xml:space="preserve">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Mugniéry D, Phillips MS, Rumpenhorst HJ, Stone AR, Treur A &amp; Trudgill DL (1989) Assessment of partial resistance of potato to, and pathotype and virulence differences in, potato cyst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7-25.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JM, Mwangi GN, Finckh MR &amp; Kiewnick S (2021) Biology, pathotype, and virulence of</w:t>
      </w:r>
      <w:r>
        <w:rPr>
          <w:rFonts w:ascii="Calibri" w:hAnsi="Calibri" w:eastAsia="Calibri" w:cs="Calibri"/>
          <w:i/>
          <w:iCs/>
          <w:color w:val="000000"/>
          <w:sz w:val="22"/>
          <w:szCs w:val="22"/>
        </w:rPr>
        <w:t xml:space="preserve"> Globodera rostochiensis</w:t>
      </w:r>
      <w:r>
        <w:rPr>
          <w:rFonts w:ascii="Calibri" w:hAnsi="Calibri" w:eastAsia="Calibri" w:cs="Calibri"/>
          <w:color w:val="000000"/>
          <w:sz w:val="22"/>
          <w:szCs w:val="22"/>
        </w:rPr>
        <w:t xml:space="preserve"> populations from Kenya.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Reid A, Evans FF, Mulholland V, Cole Y &amp; Pickup J (2015) High-throughput diagnosis of potato cyst nematodes in soil samples. </w:t>
      </w:r>
      <w:r>
        <w:rPr>
          <w:rFonts w:ascii="Calibri" w:hAnsi="Calibri" w:eastAsia="Calibri" w:cs="Calibri"/>
          <w:i/>
          <w:iCs/>
          <w:color w:val="000000"/>
          <w:sz w:val="22"/>
          <w:szCs w:val="22"/>
        </w:rPr>
        <w:t xml:space="preserve">PlantPathology: Techniques and Protocols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1302</w:t>
      </w:r>
      <w:r>
        <w:rPr>
          <w:rFonts w:ascii="Calibri" w:hAnsi="Calibri" w:eastAsia="Calibri" w:cs="Calibri"/>
          <w:color w:val="000000"/>
          <w:sz w:val="22"/>
          <w:szCs w:val="22"/>
        </w:rPr>
        <w:t xml:space="preserve">, 137–148.</w:t>
      </w:r>
    </w:p>
    <w:p>
      <w:pPr>
        <w:widowControl w:val="on"/>
        <w:pBdr/>
        <w:spacing w:before="220" w:after="220" w:line="240" w:lineRule="auto"/>
        <w:ind w:left="0" w:right="0"/>
        <w:jc w:val="left"/>
      </w:pPr>
      <w:r>
        <w:rPr>
          <w:rFonts w:ascii="Calibri" w:hAnsi="Calibri" w:eastAsia="Calibri" w:cs="Calibri"/>
          <w:color w:val="000000"/>
          <w:sz w:val="22"/>
          <w:szCs w:val="22"/>
        </w:rPr>
        <w:t xml:space="preserve">Skarbilovich TS (1959) On the structure of the systematics of nematode order Tylenchida Thorne, 1949. </w:t>
      </w:r>
      <w:r>
        <w:rPr>
          <w:rFonts w:ascii="Calibri" w:hAnsi="Calibri" w:eastAsia="Calibri" w:cs="Calibri"/>
          <w:i/>
          <w:iCs/>
          <w:color w:val="000000"/>
          <w:sz w:val="22"/>
          <w:szCs w:val="22"/>
        </w:rPr>
        <w:t xml:space="preserve">Acta Parasitologica Polonica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Southey JF (1986) Laboratory methods for work with plant and soil nematodes. Ministry of Agriculture, Fisheries and Food Reference Book No. 402, HMSO,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Stelter H (1971) [The potato cyst nematode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Wollenweber)]. Wissenschaftliche Abhandlungen der Deutschen Akademie der Landwirtschaftswissenschaften zu Berlin No. 59, 290 pp.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(1973a) </w:t>
      </w:r>
      <w:r>
        <w:rPr>
          <w:rFonts w:ascii="Calibri" w:hAnsi="Calibri" w:eastAsia="Calibri" w:cs="Calibri"/>
          <w:i/>
          <w:iCs/>
          <w:color w:val="000000"/>
          <w:sz w:val="22"/>
          <w:szCs w:val="22"/>
        </w:rPr>
        <w:t xml:space="preserve">Heterodera pallida n. sp</w:t>
      </w:r>
      <w:r>
        <w:rPr>
          <w:rFonts w:ascii="Calibri" w:hAnsi="Calibri" w:eastAsia="Calibri" w:cs="Calibri"/>
          <w:color w:val="000000"/>
          <w:sz w:val="22"/>
          <w:szCs w:val="22"/>
        </w:rPr>
        <w:t xml:space="preserve">. (Nematoda: Heteroderidae), a second species of potato cyst nematode.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591-606.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(1973b) Heterodera pallida and Heterodera rostochiensis. CIH Descriptions of Plant parasitic Nematodes. 16 and 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Franco J, Knoetze R, Roubtsova TV, Bostock RM &amp; Prado Vera IC del (2020) DNA barcoding, phylogeny and phylogeography of the cyst nematode species form the 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(Tylenchida: Heteroderidae).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 22</w:t>
      </w:r>
      <w:r>
        <w:rPr>
          <w:rFonts w:ascii="Calibri" w:hAnsi="Calibri" w:eastAsia="Calibri" w:cs="Calibri"/>
          <w:color w:val="000000"/>
          <w:sz w:val="22"/>
          <w:szCs w:val="22"/>
        </w:rPr>
        <w:t xml:space="preserve">,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Mundo-Ocampo &amp; Maldwin JG (2010) Systematics of cyst nematodes (Nematoda: Heteroderidae). In Nematology Monographs and Perspectives 8A (eds Hunt DJ &amp; Perry RN), Brill, Leiden, (NL).</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MJ, Inserra RN, Franco J, Moreno-Leheudé I &amp; Greco N (2007) Potato cyst nematodes: Plant host status and their regulatory impact.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SJ &amp; Subbotin SA (2013) Cyst nematodes, pp 109-143.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edn. (Editors Perry RN, Moens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Deeren A-M, Goeminne M, Dupont P, Demeulemeester K, Lanterbecq D &amp; De Proft M (2016) An alternative way of soil sampling for detection of field infestations with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Abstract Book of the 32nd Symposium of the European Society of Nematologists</w:t>
      </w:r>
      <w:r>
        <w:rPr>
          <w:rFonts w:ascii="Calibri" w:hAnsi="Calibri" w:eastAsia="Calibri" w:cs="Calibri"/>
          <w:color w:val="000000"/>
          <w:sz w:val="22"/>
          <w:szCs w:val="22"/>
        </w:rPr>
        <w:t xml:space="preserve">, p 155 Braga (PT).</w:t>
      </w:r>
    </w:p>
    <w:p>
      <w:pPr>
        <w:widowControl w:val="on"/>
        <w:pBdr/>
        <w:spacing w:before="220" w:after="220" w:line="240" w:lineRule="auto"/>
        <w:ind w:left="0" w:right="0"/>
        <w:jc w:val="left"/>
      </w:pPr>
      <w:r>
        <w:rPr>
          <w:rFonts w:ascii="Calibri" w:hAnsi="Calibri" w:eastAsia="Calibri" w:cs="Calibri"/>
          <w:color w:val="000000"/>
          <w:sz w:val="22"/>
          <w:szCs w:val="22"/>
        </w:rPr>
        <w:t xml:space="preserve">Wollenweber H (1923) Krankheiten und Beschädingung der Kartoffel. </w:t>
      </w:r>
      <w:r>
        <w:rPr>
          <w:rFonts w:ascii="Calibri" w:hAnsi="Calibri" w:eastAsia="Calibri" w:cs="Calibri"/>
          <w:i/>
          <w:iCs/>
          <w:color w:val="000000"/>
          <w:sz w:val="22"/>
          <w:szCs w:val="22"/>
        </w:rPr>
        <w:t xml:space="preserve">Arbeiten Forschungs Institut für Kartoffel Berlin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Evelyn van Heese (NVWA, NL).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EPPO datasheets on pests recommended for regulation. Available online. </w:t>
      </w:r>
      <w:hyperlink r:id="rId23686685262397c6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EPPO Data Sheet on Quarantine Organisms no 125: </w:t>
      </w:r>
      <w:r>
        <w:rPr>
          <w:rFonts w:ascii="Calibri" w:hAnsi="Calibri" w:eastAsia="Calibri" w:cs="Calibri"/>
          <w:i/>
          <w:iCs/>
          <w:color w:val="000000"/>
          <w:sz w:val="22"/>
          <w:szCs w:val="22"/>
        </w:rPr>
        <w:t xml:space="preserve">Globodera rostochiensis. 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1-5. </w:t>
      </w:r>
      <w:hyperlink r:id="rId63526685262397da9" w:history="1">
        <w:r>
          <w:rPr>
            <w:rFonts w:ascii="Calibri" w:hAnsi="Calibri" w:eastAsia="Calibri" w:cs="Calibri"/>
            <w:color w:val="0000CC"/>
            <w:sz w:val="22"/>
            <w:szCs w:val="22"/>
            <w:u w:val="single"/>
          </w:rPr>
          <w:t xml:space="preserve">https://doi.org/10.1111/j.1365-2338.1981.tb01753.x</w:t>
        </w:r>
      </w:hyperlink>
    </w:p>
    <w:p>
      <w:r>
        <w:drawing>
          <wp:inline distT="0" distB="0" distL="0" distR="0">
            <wp:extent cx="1800000" cy="604800"/>
            <wp:docPr id="40408190" name="name46246685262397fd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466685262397fd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78402">
    <w:multiLevelType w:val="hybridMultilevel"/>
    <w:lvl w:ilvl="0" w:tplc="77013182">
      <w:start w:val="1"/>
      <w:numFmt w:val="decimal"/>
      <w:lvlText w:val="%1."/>
      <w:lvlJc w:val="left"/>
      <w:pPr>
        <w:ind w:left="720" w:hanging="360"/>
      </w:pPr>
    </w:lvl>
    <w:lvl w:ilvl="1" w:tplc="77013182" w:tentative="1">
      <w:start w:val="1"/>
      <w:numFmt w:val="lowerLetter"/>
      <w:lvlText w:val="%2."/>
      <w:lvlJc w:val="left"/>
      <w:pPr>
        <w:ind w:left="1440" w:hanging="360"/>
      </w:pPr>
    </w:lvl>
    <w:lvl w:ilvl="2" w:tplc="77013182" w:tentative="1">
      <w:start w:val="1"/>
      <w:numFmt w:val="lowerRoman"/>
      <w:lvlText w:val="%3."/>
      <w:lvlJc w:val="right"/>
      <w:pPr>
        <w:ind w:left="2160" w:hanging="180"/>
      </w:pPr>
    </w:lvl>
    <w:lvl w:ilvl="3" w:tplc="77013182" w:tentative="1">
      <w:start w:val="1"/>
      <w:numFmt w:val="decimal"/>
      <w:lvlText w:val="%4."/>
      <w:lvlJc w:val="left"/>
      <w:pPr>
        <w:ind w:left="2880" w:hanging="360"/>
      </w:pPr>
    </w:lvl>
    <w:lvl w:ilvl="4" w:tplc="77013182" w:tentative="1">
      <w:start w:val="1"/>
      <w:numFmt w:val="lowerLetter"/>
      <w:lvlText w:val="%5."/>
      <w:lvlJc w:val="left"/>
      <w:pPr>
        <w:ind w:left="3600" w:hanging="360"/>
      </w:pPr>
    </w:lvl>
    <w:lvl w:ilvl="5" w:tplc="77013182" w:tentative="1">
      <w:start w:val="1"/>
      <w:numFmt w:val="lowerRoman"/>
      <w:lvlText w:val="%6."/>
      <w:lvlJc w:val="right"/>
      <w:pPr>
        <w:ind w:left="4320" w:hanging="180"/>
      </w:pPr>
    </w:lvl>
    <w:lvl w:ilvl="6" w:tplc="77013182" w:tentative="1">
      <w:start w:val="1"/>
      <w:numFmt w:val="decimal"/>
      <w:lvlText w:val="%7."/>
      <w:lvlJc w:val="left"/>
      <w:pPr>
        <w:ind w:left="5040" w:hanging="360"/>
      </w:pPr>
    </w:lvl>
    <w:lvl w:ilvl="7" w:tplc="77013182" w:tentative="1">
      <w:start w:val="1"/>
      <w:numFmt w:val="lowerLetter"/>
      <w:lvlText w:val="%8."/>
      <w:lvlJc w:val="left"/>
      <w:pPr>
        <w:ind w:left="5760" w:hanging="360"/>
      </w:pPr>
    </w:lvl>
    <w:lvl w:ilvl="8" w:tplc="77013182" w:tentative="1">
      <w:start w:val="1"/>
      <w:numFmt w:val="lowerRoman"/>
      <w:lvlText w:val="%9."/>
      <w:lvlJc w:val="right"/>
      <w:pPr>
        <w:ind w:left="6480" w:hanging="180"/>
      </w:pPr>
    </w:lvl>
  </w:abstractNum>
  <w:abstractNum w:abstractNumId="88278401">
    <w:multiLevelType w:val="hybridMultilevel"/>
    <w:lvl w:ilvl="0" w:tplc="989655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78401">
    <w:abstractNumId w:val="88278401"/>
  </w:num>
  <w:num w:numId="88278402">
    <w:abstractNumId w:val="882784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9017755" Type="http://schemas.microsoft.com/office/2011/relationships/commentsExtended" Target="commentsExtended.xml"/><Relationship Id="rId292205497" Type="http://schemas.microsoft.com/office/2011/relationships/people" Target="people.xml"/><Relationship Id="rId62926685262393f19" Type="http://schemas.openxmlformats.org/officeDocument/2006/relationships/hyperlink" Target="https://gd.eppo.int/taxon/HETDRO/" TargetMode="External"/><Relationship Id="rId70946685262393f80" Type="http://schemas.openxmlformats.org/officeDocument/2006/relationships/hyperlink" Target="https://gd.eppo.int/taxon/HETDRO/categorization" TargetMode="External"/><Relationship Id="rId51156685262394868" Type="http://schemas.openxmlformats.org/officeDocument/2006/relationships/hyperlink" Target="https://gd.eppo.int/taxon/HETDRO/photos" TargetMode="External"/><Relationship Id="rId85436685262396c18" Type="http://schemas.openxmlformats.org/officeDocument/2006/relationships/hyperlink" Target="https://doi.org/10.3389/fpls.2020.606178" TargetMode="External"/><Relationship Id="rId72326685262396e37" Type="http://schemas.openxmlformats.org/officeDocument/2006/relationships/hyperlink" Target="https://doi/org/10.2903/j.efsa.2012.2644" TargetMode="External"/><Relationship Id="rId27756685262396ea9" Type="http://schemas.openxmlformats.org/officeDocument/2006/relationships/hyperlink" Target="https://doi/org/10.2903/sp.efsa.2019.EN-1566" TargetMode="External"/><Relationship Id="rId4252668526239718f" Type="http://schemas.openxmlformats.org/officeDocument/2006/relationships/hyperlink" Target="https://gd.eppo.int/standards/PM3/" TargetMode="External"/><Relationship Id="rId888266852623972b3" Type="http://schemas.openxmlformats.org/officeDocument/2006/relationships/hyperlink" Target="https://eur-lex.europa.eu/legal-content/EN/ALL/?uri=CELEX:32007L0033" TargetMode="External"/><Relationship Id="rId35526685262397727" Type="http://schemas.openxmlformats.org/officeDocument/2006/relationships/hyperlink" Target="https://edepot.wur.nl/517931" TargetMode="External"/><Relationship Id="rId23686685262397c65" Type="http://schemas.openxmlformats.org/officeDocument/2006/relationships/hyperlink" Target="https://gd.eppo.int" TargetMode="External"/><Relationship Id="rId63526685262397da9" Type="http://schemas.openxmlformats.org/officeDocument/2006/relationships/hyperlink" Target="https://doi.org/10.1111/j.1365-2338.1981.tb01753.x" TargetMode="External"/><Relationship Id="rId55546685262394711" Type="http://schemas.openxmlformats.org/officeDocument/2006/relationships/image" Target="media/imgrId55546685262394711.jpg"/><Relationship Id="rId26176685262395a28" Type="http://schemas.openxmlformats.org/officeDocument/2006/relationships/image" Target="media/imgrId26176685262395a28.jpg"/><Relationship Id="rId98466685262397fdb" Type="http://schemas.openxmlformats.org/officeDocument/2006/relationships/image" Target="media/imgrId98466685262397fd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