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Hishimonus phycitis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Hishimonus phycitis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(Distant)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Auchenorrhyncha: Cicadellidae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Cestius phycitis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Eutettix lugubris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Eutettix phycitis</w:t>
            </w:r>
            <w:r>
              <w:rPr>
                <w:rFonts w:ascii="Calibri" w:hAnsi="Calibri" w:eastAsia="Calibri" w:cs="Calibri"/>
                <w:color w:val="000000"/>
                <w:position w:val="-3"/>
                <w:sz w:val="22"/>
                <w:szCs w:val="22"/>
              </w:rPr>
              <w:t xml:space="preserve"> Distant, </w:t>
            </w:r>
            <w:r>
              <w:rPr>
                <w:rFonts w:ascii="Calibri" w:hAnsi="Calibri" w:eastAsia="Calibri" w:cs="Calibri"/>
                <w:i/>
                <w:iCs/>
                <w:color w:val="000000"/>
                <w:position w:val="-3"/>
                <w:sz w:val="22"/>
                <w:szCs w:val="22"/>
              </w:rPr>
              <w:t xml:space="preserve">Hishimonus orientalis</w:t>
            </w:r>
            <w:r>
              <w:rPr>
                <w:rFonts w:ascii="Calibri" w:hAnsi="Calibri" w:eastAsia="Calibri" w:cs="Calibri"/>
                <w:color w:val="000000"/>
                <w:position w:val="-3"/>
                <w:sz w:val="22"/>
                <w:szCs w:val="22"/>
              </w:rPr>
              <w:t xml:space="preserve"> Emeljanov</w:t>
            </w:r>
            <w:hyperlink r:id="rId8435668535105eb1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339668535105eb5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HISHPH</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India, the leafhopper was initially characterized and assigned to the </w:t>
      </w:r>
      <w:r>
        <w:rPr>
          <w:rFonts w:ascii="Calibri" w:hAnsi="Calibri" w:eastAsia="Calibri" w:cs="Calibri"/>
          <w:i/>
          <w:iCs/>
          <w:color w:val="000000"/>
          <w:sz w:val="22"/>
          <w:szCs w:val="22"/>
        </w:rPr>
        <w:t xml:space="preserve">Eutettix</w:t>
      </w:r>
      <w:r>
        <w:rPr>
          <w:rFonts w:ascii="Calibri" w:hAnsi="Calibri" w:eastAsia="Calibri" w:cs="Calibri"/>
          <w:color w:val="000000"/>
          <w:sz w:val="22"/>
          <w:szCs w:val="22"/>
        </w:rPr>
        <w:t xml:space="preserve"> genus by Distant in 1908. Nielson (1968) reassigned this species to the genus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and it is presently known as </w:t>
      </w:r>
      <w:r>
        <w:rPr>
          <w:rFonts w:ascii="Calibri" w:hAnsi="Calibri" w:eastAsia="Calibri" w:cs="Calibri"/>
          <w:i/>
          <w:iCs/>
          <w:color w:val="000000"/>
          <w:sz w:val="22"/>
          <w:szCs w:val="22"/>
        </w:rPr>
        <w:t xml:space="preserve">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phycitis</w:t>
      </w:r>
      <w:r>
        <w:rPr>
          <w:rFonts w:ascii="Calibri" w:hAnsi="Calibri" w:eastAsia="Calibri" w:cs="Calibri"/>
          <w:color w:val="000000"/>
          <w:sz w:val="22"/>
          <w:szCs w:val="22"/>
        </w:rPr>
        <w:t xml:space="preserve">. This species is closely related to </w:t>
      </w:r>
      <w:r>
        <w:rPr>
          <w:rFonts w:ascii="Calibri" w:hAnsi="Calibri" w:eastAsia="Calibri" w:cs="Calibri"/>
          <w:i/>
          <w:iCs/>
          <w:color w:val="000000"/>
          <w:sz w:val="22"/>
          <w:szCs w:val="22"/>
        </w:rPr>
        <w:t xml:space="preserve">H. sellatus</w:t>
      </w:r>
      <w:r>
        <w:rPr>
          <w:rFonts w:ascii="Calibri" w:hAnsi="Calibri" w:eastAsia="Calibri" w:cs="Calibri"/>
          <w:color w:val="000000"/>
          <w:sz w:val="22"/>
          <w:szCs w:val="22"/>
        </w:rPr>
        <w:t xml:space="preserve"> but differs principally in the absence of concavity on the lateral margin of the shafts of the aedeagus (Uhler, 1896).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well known for being the vector of lime witches' broom phytoplasma (WBDL;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subgroup 16SrII-B)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well as several other phytoplasma diseases (see Economic impact).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belongs to the tribe Opsiini, subfamily Deltocephalinae of the Cicadellidae in the suborder Auchenorrhyncha (Da Graça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recognized for its ability to consume a diverse range of plant species. According to Bindra &amp; Singh (1969) and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this species is able to complete its life cycle only on a limited number of the plants recorded as hosts, i.e.</w:t>
      </w:r>
      <w:r>
        <w:rPr>
          <w:rFonts w:ascii="Calibri" w:hAnsi="Calibri" w:eastAsia="Calibri" w:cs="Calibri"/>
          <w:i/>
          <w:iCs/>
          <w:color w:val="000000"/>
          <w:sz w:val="22"/>
          <w:szCs w:val="22"/>
        </w:rPr>
        <w:t xml:space="preserve"> 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sinensis, C. paradisi, C. limetta, C. reticulata, C. limon, Solanum melongena, Ziziphus spina-christi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 Gossypium arboretum, Sesamum indicum,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Withania somnifera</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volkameriana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aconitifolius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cannabina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Withania somnifera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recorded origin of this species dates back to the initial observation in India and Sri Lanka and it is recognized as a species of tropical and subtropical range. This species is widespread in South-East Asia, and was also found in Oman, the United Arab Emirates and Iran.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was misreported in Australia (EFSA, 2017; Du &amp; Dai, 2019).</w:t>
      </w:r>
    </w:p>
    <w:p>
      <w:r>
        <w:drawing>
          <wp:inline distT="0" distB="0" distL="0" distR="0">
            <wp:extent cx="6120000" cy="3067200"/>
            <wp:docPr id="9184465" name="name50836685351060263" descr="HISH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HPH_distribution_map.jpg"/>
                    <pic:cNvPicPr/>
                  </pic:nvPicPr>
                  <pic:blipFill>
                    <a:blip r:embed="rId670666853510602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Netherlands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(Aomen (Macau), Fujian, Guangdong, Guangxi, Guizhou, Hainan, Jiangsu, Jiangxi, Sichuan, Xianggang (Hong Kong), Yunnan), India (Andhra Pradesh, Assam, Bihar, Delhi, Gujarat, Haryana, Himachal Pradesh, Jammu &amp; Kashmir, Karnataka, Kerala, Maharashtra, Meghalaya, Punjab, Tamil Nadu, Uttarakhand, Uttar Pradesh, West Bengal), Iran, Malaysia, Oman, Pakistan, Philippines, Saudi Arabia, Sri Lanka, Taiwan, Thailand, United Arab Emirates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life cycle was documented on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in India by Bindra &amp; Singh (1969) and Srinivasan &amp; Chelliah (1980). Females oviposit on leaves and young shoots, averaging 80-140 eggs being laid per female in warm seasons and 10-80 in cooler ones. Eggs develop in 8-23 days depending on the temperature. Five nymphal instars take 14 days at 28 °C, and adults live for 3-6 weeks. Srinivasan &amp; Chelliah (1980) found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developed faster and had a higher mean fecundity on </w:t>
      </w:r>
      <w:r>
        <w:rPr>
          <w:rFonts w:ascii="Calibri" w:hAnsi="Calibri" w:eastAsia="Calibri" w:cs="Calibri"/>
          <w:i/>
          <w:iCs/>
          <w:color w:val="000000"/>
          <w:sz w:val="22"/>
          <w:szCs w:val="22"/>
        </w:rPr>
        <w:t xml:space="preserve">S. melongena</w:t>
      </w:r>
      <w:r>
        <w:rPr>
          <w:rFonts w:ascii="Calibri" w:hAnsi="Calibri" w:eastAsia="Calibri" w:cs="Calibri"/>
          <w:color w:val="000000"/>
          <w:sz w:val="22"/>
          <w:szCs w:val="22"/>
        </w:rPr>
        <w:t xml:space="preserve"> leaves infected by brinjal little leaf disease (since found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trifolii’, subgroup 16SrVI-D - Azadvar &amp; Baranwal, 2012) compared to healthy leaves. Infected leaves may have higher carbohydrates, sugars, and organic acids than healthy ones, and plants may have modified phytohormone-mediated effects (Lazebnik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reported the same results (higher biological parameters) for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harboring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compared to uninfected insects reared on lime trees.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present year-round in Oman (Razvi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Queiroz, 2014). In Southern Iran, there is a higher infestation rate in well-irrigated Citrus orchards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Populations peaked in February/March and gradually decreased from May to October in Southern Iran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Delhi, India, high densities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in brinjal (aubergine) fields were observed from July to October, followed by an increase in brinjal little leaf disease symptoms (Kumar &amp; Rao, 2017). In India, Un Nabi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found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populations in sesame fields increased from July to September before declining from October.</w:t>
      </w:r>
    </w:p>
    <w:p>
      <w:pPr>
        <w:widowControl w:val="on"/>
        <w:pBdr/>
        <w:spacing w:before="220" w:after="220" w:line="240" w:lineRule="auto"/>
        <w:ind w:left="0" w:right="0"/>
        <w:jc w:val="both"/>
      </w:pPr>
      <w:r>
        <w:rPr>
          <w:rFonts w:ascii="Calibri" w:hAnsi="Calibri" w:eastAsia="Calibri" w:cs="Calibri"/>
          <w:color w:val="000000"/>
          <w:sz w:val="22"/>
          <w:szCs w:val="22"/>
        </w:rPr>
        <w:t xml:space="preserve">Whereas the transovarial transmission of phytoplasmas has been demonstrated in a few leafhoppers and psyllids, Queiroz (2014) did not detect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in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eggs, nymphs and newly emerged adults. It remains unknown if there is transovarial transmission to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leafhopper damage include host leaves with yellows spot and oviposition scars cut by females in leaf vascular tissue and on young shoots for egg laying. Leaves curl up at the margin and sometimes drop. Sooty mold can develop on the expelled exudate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small, 3-4 mm long, and greenish-yellow with brownish abdomen and legs. Head and pronotum are greenish-yellow, scutellum greenish-yellow, with basal triangles and apical half marked with dark brown margins. The forewings are silvery white with densely brown mottling between veins; the median diamond patch is dark brown, with the median section translucent whitish (Du &amp; Dai, 2019). Nymphs are yellow with a brown spot on the abdomen. The eggs are laid into leaf and young shoots (EFSA,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and nymphs can be observed feeding on the underside of the leaves of lime plants. Moreover, it is noteworthy that eggs oviposited within the tissue of the plant can be visualized via a stereomicroscope (CABI, 2015). Nets, blue sticky traps, and suction devices can be used to detect populations in the field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local spread will occur primarily via the natural dispersal of adults. The long-distance spread will be facilitated by spread via plants for planting of hosts. As leafhoppers move and leap away when disturbed, it is unlikely that mobile stages will remain on host plant materials as it is handled along a pathway (EFSA, 2017). The pest is, therefore, more likely to be transported as eggs in leaves and young shoots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Olivier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than as mobile nymphs and adults. EFSA (2017) considers that young host plants with shoots, or older hosts with leaves, imported and infested with eggs could potentially provide a pathway, for example, </w:t>
      </w:r>
      <w:r>
        <w:rPr>
          <w:rFonts w:ascii="Calibri" w:hAnsi="Calibri" w:eastAsia="Calibri" w:cs="Calibri"/>
          <w:i/>
          <w:iCs/>
          <w:color w:val="000000"/>
          <w:sz w:val="22"/>
          <w:szCs w:val="22"/>
        </w:rPr>
        <w:t xml:space="preserve">Amaranthus tricolor</w:t>
      </w:r>
      <w:r>
        <w:rPr>
          <w:rFonts w:ascii="Calibri" w:hAnsi="Calibri" w:eastAsia="Calibri" w:cs="Calibri"/>
          <w:color w:val="000000"/>
          <w:sz w:val="22"/>
          <w:szCs w:val="22"/>
        </w:rPr>
        <w:t xml:space="preserve"> plants for planting. Nevertheless, in the event of entry of mobile or winged adult specimens into the EPPO region, there exists a heightened potential for rapid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Shabani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that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was introduced into Iran from Oman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However, in the EPPO region,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from countries where the pest occurs is prohibited in the EU (EU, 2023) and probably in many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producing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extracts nutrients from the vascular tissue of the host, and it is therefore known as a direct plant pest. However, the transmission of destructive plant pathogens such as witches' broom disease of lime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brinjal little leaf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trifolii' subgroup VI-D; Azadvar &amp; Baranwal, 2012) and sesame phyllody phytoplasma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asteris’ subgroup I-B; Un Nabi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Witches' broom disease of lime is known as a very damaging disease of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in Oman, Iran, and the United Arab Emirates. Over 70% of adults and nymphs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collected in lime orchards in Hormozgan province, in Iran, tested positive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65% of individuals tested positive in a study in Oman (Queiroz, 2014). Sesame phyllody has caused yield losses of up to 80% on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in India.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focus on limiting the spread of pathogens vectored by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by suppressing the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populations. Generally, the control methods that can be applied include:</w:t>
      </w:r>
    </w:p>
    <w:p>
      <w:pPr>
        <w:widowControl w:val="on"/>
        <w:pBdr/>
        <w:spacing w:before="0" w:after="0" w:line="240" w:lineRule="auto"/>
        <w:ind w:left="0" w:right="0"/>
        <w:jc w:val="both"/>
      </w:pPr>
      <w:r>
        <w:rPr>
          <w:rFonts w:ascii="Calibri" w:hAnsi="Calibri" w:eastAsia="Calibri" w:cs="Calibri"/>
          <w:color w:val="000000"/>
          <w:sz w:val="22"/>
          <w:szCs w:val="22"/>
        </w:rPr>
        <w:t xml:space="preserve">- Use of certified planting materials</w:t>
      </w:r>
      <w:r>
        <w:rPr>
          <w:rFonts w:ascii="Calibri" w:hAnsi="Calibri" w:eastAsia="Calibri" w:cs="Calibri"/>
          <w:color w:val="000000"/>
          <w:sz w:val="22"/>
          <w:szCs w:val="22"/>
        </w:rPr>
        <w:t xml:space="preserve">- Suppression of adults via chemical controls (periodic spray of systemic pesticide)</w:t>
      </w:r>
      <w:r>
        <w:rPr>
          <w:rFonts w:ascii="Calibri" w:hAnsi="Calibri" w:eastAsia="Calibri" w:cs="Calibri"/>
          <w:color w:val="000000"/>
          <w:sz w:val="22"/>
          <w:szCs w:val="22"/>
        </w:rPr>
        <w:t xml:space="preserve">- Removal of newly emerged branches of lime trees, showing symptoms of witches' broom disease, as these are more attractive for </w:t>
      </w:r>
      <w:r>
        <w:rPr>
          <w:rFonts w:ascii="Calibri" w:hAnsi="Calibri" w:eastAsia="Calibri" w:cs="Calibri"/>
          <w:i/>
          <w:iCs/>
          <w:color w:val="000000"/>
          <w:sz w:val="22"/>
          <w:szCs w:val="22"/>
        </w:rPr>
        <w:t xml:space="preserve">H. phycitis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Elimination of infected lime trees showing clear symptoms</w:t>
      </w:r>
      <w:r>
        <w:rPr>
          <w:rFonts w:ascii="Calibri" w:hAnsi="Calibri" w:eastAsia="Calibri" w:cs="Calibri"/>
          <w:color w:val="000000"/>
          <w:sz w:val="22"/>
          <w:szCs w:val="22"/>
        </w:rPr>
        <w:t xml:space="preserve">- Chemical or mechanical control of weeds</w:t>
      </w:r>
    </w:p>
    <w:p>
      <w:pPr>
        <w:widowControl w:val="on"/>
        <w:pBdr/>
        <w:spacing w:before="220" w:after="220" w:line="240" w:lineRule="auto"/>
        <w:ind w:left="0" w:right="0"/>
        <w:jc w:val="both"/>
      </w:pPr>
      <w:r>
        <w:rPr>
          <w:rFonts w:ascii="Calibri" w:hAnsi="Calibri" w:eastAsia="Calibri" w:cs="Calibri"/>
          <w:color w:val="000000"/>
          <w:sz w:val="22"/>
          <w:szCs w:val="22"/>
        </w:rPr>
        <w:br/>
        <w:t xml:space="preserve">The above methods have been shown to be very effective when applied in an integrated pest management system to reduce populations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and therefore the spread of witches' broom disease of lime phytoplasma (Najafiniya &amp; Azadvar,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could have an impact as a pest and as a vector on economically important species cultivated in the EPPO region. Amongst hosts that can be infested by the phytoplasmas vectored,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are economically important crops, and sesame is grown in limited areas, such as in Cyprus, Greece, Italy, and Turkey (EFSA, 2017; Ikten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can be regarded as a tropical and subtropical species based on its geographical distribution. According to EFSA (2017), there is limited climatic similarity, with some uncertainties, between the EU and areas where the pest occurs. For the EPPO region, a number of additional areas around the Mediterranean area present arid conditions that may be favorable to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As Abbaszadeh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indicated, in Southern Iran, well-irrigated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had higher infestation levels than poorly irrigated ones. Similarly,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orchards are commonly irrigated in the EPPO region and may provide suitable conditions for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decrease the chances of pests entering new areas, it is advisable to obtain host plants for planting from areas that are free from pests. Alternatively, it may be possible to require pest free production sites or pest free places of production, as is the case for similar vectors. Host plants for planting, including but not limited to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tricolor</w:t>
      </w:r>
      <w:r>
        <w:rPr>
          <w:rFonts w:ascii="Calibri" w:hAnsi="Calibri" w:eastAsia="Calibri" w:cs="Calibri"/>
          <w:color w:val="000000"/>
          <w:sz w:val="22"/>
          <w:szCs w:val="22"/>
        </w:rPr>
        <w:t xml:space="preserve"> (a confirmed host), should undergo a thorough inspection to ensure the absence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and any associated symptoms evident on their leaves. It is noteworthy that identifying eggs on infested plants is challenging due to the fact that eggs are laid within the foliage and shoots, so, utilization of a stereomicroscope to inspect plant material is highly recommended (CABI, 2021). A pest survey card was prepared by the European Food Safety Authority (EFSA, 2021) to assist EU Member States in planning their annual survey activities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Abbaszadeh G, Samih MA, Hoshiar H &amp; Bagheri A (2011) Study of host range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 and effect of lime growth conditions on its reproduction and WBDL intensity. </w:t>
      </w:r>
      <w:r>
        <w:rPr>
          <w:rFonts w:ascii="Calibri" w:hAnsi="Calibri" w:eastAsia="Calibri" w:cs="Calibri"/>
          <w:i/>
          <w:iCs/>
          <w:color w:val="000000"/>
          <w:sz w:val="22"/>
          <w:szCs w:val="22"/>
        </w:rPr>
        <w:t xml:space="preserve">Annals of Plant Protection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360–363.</w:t>
      </w:r>
    </w:p>
    <w:p>
      <w:pPr>
        <w:widowControl w:val="on"/>
        <w:pBdr/>
        <w:spacing w:before="220" w:after="220" w:line="240" w:lineRule="auto"/>
        <w:ind w:left="0" w:right="0"/>
        <w:jc w:val="left"/>
      </w:pPr>
      <w:r>
        <w:rPr>
          <w:rFonts w:ascii="Calibri" w:hAnsi="Calibri" w:eastAsia="Calibri" w:cs="Calibri"/>
          <w:color w:val="000000"/>
          <w:sz w:val="22"/>
          <w:szCs w:val="22"/>
        </w:rPr>
        <w:t xml:space="preserve">Al-Subhi AM, Al-Sadi AM, Al-Yahyai RA, Chen Y, Mathers T, Orlovskis Z, Moro G, Mugford S, Al-Hashmi KS &amp; Hogenhout SA (2021) Witches' broom disease of lime contributes to phytoplasma epidemics and attracts insect vectors.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(9), 2637-2648.</w:t>
      </w:r>
    </w:p>
    <w:p>
      <w:pPr>
        <w:widowControl w:val="on"/>
        <w:pBdr/>
        <w:spacing w:before="220" w:after="220" w:line="240" w:lineRule="auto"/>
        <w:ind w:left="0" w:right="0"/>
        <w:jc w:val="left"/>
      </w:pPr>
      <w:r>
        <w:rPr>
          <w:rFonts w:ascii="Calibri" w:hAnsi="Calibri" w:eastAsia="Calibri" w:cs="Calibri"/>
          <w:color w:val="000000"/>
          <w:sz w:val="22"/>
          <w:szCs w:val="22"/>
        </w:rPr>
        <w:t xml:space="preserve">Azadvar M, Baranwal VK (2012) Multilocus sequence analysis of phytoplasma associated with brinjal little leaf disease and its detection in Hishimonus phycitis in India. Phytopathogenic Mollicutes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(1),15-21.</w:t>
      </w:r>
    </w:p>
    <w:p>
      <w:pPr>
        <w:widowControl w:val="on"/>
        <w:pBdr/>
        <w:spacing w:before="220" w:after="220" w:line="240" w:lineRule="auto"/>
        <w:ind w:left="0" w:right="0"/>
        <w:jc w:val="left"/>
      </w:pPr>
      <w:r>
        <w:rPr>
          <w:rFonts w:ascii="Calibri" w:hAnsi="Calibri" w:eastAsia="Calibri" w:cs="Calibri"/>
          <w:color w:val="000000"/>
          <w:sz w:val="22"/>
          <w:szCs w:val="22"/>
        </w:rPr>
        <w:t xml:space="preserve">Bindra OS &amp; Singh B (1969) Biology and bionomics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(Distant), a jassid vector of ’little-leaf’ disease of brinjal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912–919.</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 Datasheet on </w:t>
      </w:r>
      <w:r>
        <w:rPr>
          <w:rFonts w:ascii="Calibri" w:hAnsi="Calibri" w:eastAsia="Calibri" w:cs="Calibri"/>
          <w:i/>
          <w:iCs/>
          <w:color w:val="000000"/>
          <w:sz w:val="22"/>
          <w:szCs w:val="22"/>
        </w:rPr>
        <w:t xml:space="preserve">Hishimonus phycitis.</w:t>
      </w:r>
      <w:r>
        <w:rPr>
          <w:rFonts w:ascii="Calibri" w:hAnsi="Calibri" w:eastAsia="Calibri" w:cs="Calibri"/>
          <w:i/>
          <w:iCs/>
          <w:color w:val="000000"/>
          <w:sz w:val="22"/>
          <w:szCs w:val="22"/>
        </w:rPr>
        <w:t xml:space="preserve"> CABI Compendium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Pest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w:t>
      </w:r>
      <w:r>
        <w:rPr>
          <w:rFonts w:ascii="Calibri" w:hAnsi="Calibri" w:eastAsia="Calibri" w:cs="Calibri"/>
          <w:i/>
          <w:iCs/>
          <w:color w:val="000000"/>
          <w:sz w:val="22"/>
          <w:szCs w:val="22"/>
        </w:rPr>
        <w:t xml:space="preserve">CABI Compendium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Da Graça JV, Sétamou M, Skaria, M &amp; French JV (2007) Arthropod vectors of exotic citrus diseases: a risk assessment for the Texas citrus industry. </w:t>
      </w:r>
      <w:r>
        <w:rPr>
          <w:rFonts w:ascii="Calibri" w:hAnsi="Calibri" w:eastAsia="Calibri" w:cs="Calibri"/>
          <w:i/>
          <w:iCs/>
          <w:color w:val="000000"/>
          <w:sz w:val="22"/>
          <w:szCs w:val="22"/>
        </w:rPr>
        <w:t xml:space="preserve">Subtropical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64-74.</w:t>
      </w:r>
    </w:p>
    <w:p>
      <w:pPr>
        <w:widowControl w:val="on"/>
        <w:pBdr/>
        <w:spacing w:before="220" w:after="220" w:line="240" w:lineRule="auto"/>
        <w:ind w:left="0" w:right="0"/>
        <w:jc w:val="left"/>
      </w:pPr>
      <w:r>
        <w:rPr>
          <w:rFonts w:ascii="Calibri" w:hAnsi="Calibri" w:eastAsia="Calibri" w:cs="Calibri"/>
          <w:color w:val="000000"/>
          <w:sz w:val="22"/>
          <w:szCs w:val="22"/>
        </w:rPr>
        <w:t xml:space="preserve">Du L &amp; Dai W (2019) High species diversity of the leafhopper Genus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Ishihara (Hemiptera: Cicadellidae: Deltocephalinae) from China, with description of ten new species. </w:t>
      </w:r>
      <w:r>
        <w:rPr>
          <w:rFonts w:ascii="Calibri" w:hAnsi="Calibri" w:eastAsia="Calibri" w:cs="Calibri"/>
          <w:i/>
          <w:iCs/>
          <w:color w:val="000000"/>
          <w:sz w:val="22"/>
          <w:szCs w:val="22"/>
        </w:rPr>
        <w:t xml:space="preserve">Insects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120. </w:t>
      </w:r>
      <w:hyperlink r:id="rId7844668535106154f" w:history="1">
        <w:r>
          <w:rPr>
            <w:rFonts w:ascii="Calibri" w:hAnsi="Calibri" w:eastAsia="Calibri" w:cs="Calibri"/>
            <w:color w:val="0000CC"/>
            <w:sz w:val="22"/>
            <w:szCs w:val="22"/>
            <w:u w:val="single"/>
          </w:rPr>
          <w:t xml:space="preserve">https://doi.org/10.3390/insects10050120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PLH Panel (EFSA Panel on Plant Health), Jeger M, Bragard C, Caffier D, Candresse T, Chatzivassiliou E, Dehnen-Schmutz K, Gilioli G, Gregoire J-C, Jaques Miret JA, Navarro MN, Niere B, Parnell S, Potting R, Rafoss T, Rossi V, Urek G, Van Bruggen A, Van der Werf W, West J, Winter S, Gardi C, Aukhojee M, Bergeretti F &amp; MacLeod A. Scientific opinion on the pest categorisation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b/>
          <w:bCs/>
          <w:color w:val="000000"/>
          <w:sz w:val="22"/>
          <w:szCs w:val="22"/>
        </w:rPr>
        <w:t xml:space="preserve"> 15</w:t>
      </w:r>
      <w:r>
        <w:rPr>
          <w:rFonts w:ascii="Calibri" w:hAnsi="Calibri" w:eastAsia="Calibri" w:cs="Calibri"/>
          <w:color w:val="000000"/>
          <w:sz w:val="22"/>
          <w:szCs w:val="22"/>
        </w:rPr>
        <w:t xml:space="preserve">(10), 5030, 26 pp. </w:t>
      </w:r>
      <w:hyperlink r:id="rId287866853510615df" w:history="1">
        <w:r>
          <w:rPr>
            <w:rFonts w:ascii="Calibri" w:hAnsi="Calibri" w:eastAsia="Calibri" w:cs="Calibri"/>
            <w:color w:val="0000CC"/>
            <w:sz w:val="22"/>
            <w:szCs w:val="22"/>
            <w:u w:val="single"/>
          </w:rPr>
          <w:t xml:space="preserve">https://doi.org/10.2903/j.efsa.2017.5037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 Pest survey card on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EFSA supporting publication 7026. Available online: </w:t>
      </w:r>
      <w:hyperlink r:id="rId52796685351061675" w:history="1">
        <w:r>
          <w:rPr>
            <w:rFonts w:ascii="Calibri" w:hAnsi="Calibri" w:eastAsia="Calibri" w:cs="Calibri"/>
            <w:color w:val="0000CC"/>
            <w:sz w:val="22"/>
            <w:szCs w:val="22"/>
            <w:u w:val="single"/>
          </w:rPr>
          <w:t xml:space="preserve">https://arcg.is/19SK8v</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4848668535106170c"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8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&amp; Al-Sadi AM (2021)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increased the fitness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the vector of lime witches’ broom disease.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105532.</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Askari Seyahooei M, Nikooei M, Modarees Najafabadi SS, Goodarzi A, Amiri Mazraie M &amp; Faghihi MM (2020) Vector transmission of lime witches' broom phytoplasma to Mexican lime seedlings under greenhouse conditions. </w:t>
      </w:r>
      <w:r>
        <w:rPr>
          <w:rFonts w:ascii="Calibri" w:hAnsi="Calibri" w:eastAsia="Calibri" w:cs="Calibri"/>
          <w:i/>
          <w:iCs/>
          <w:color w:val="000000"/>
          <w:sz w:val="22"/>
          <w:szCs w:val="22"/>
        </w:rPr>
        <w:t xml:space="preserve">Journal of Crop Protection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Ikten C, Catal M, Yol E, Ustun R, Furat S, Toker C &amp; Uzun B (2014) Molecular identification, characterization and transmission of phytoplasmas associated with sesame phyllody in Turkey. </w:t>
      </w:r>
      <w:r>
        <w:rPr>
          <w:rFonts w:ascii="Calibri" w:hAnsi="Calibri" w:eastAsia="Calibri" w:cs="Calibri"/>
          <w:i/>
          <w:iCs/>
          <w:color w:val="000000"/>
          <w:sz w:val="22"/>
          <w:szCs w:val="22"/>
        </w:rPr>
        <w:t xml:space="preserve">European Journal of Plant Pathology</w:t>
      </w:r>
      <w:r>
        <w:rPr>
          <w:rFonts w:ascii="Calibri" w:hAnsi="Calibri" w:eastAsia="Calibri" w:cs="Calibri"/>
          <w:b/>
          <w:bCs/>
          <w:color w:val="000000"/>
          <w:sz w:val="22"/>
          <w:szCs w:val="22"/>
        </w:rPr>
        <w:t xml:space="preserve"> 139</w:t>
      </w:r>
      <w:r>
        <w:rPr>
          <w:rFonts w:ascii="Calibri" w:hAnsi="Calibri" w:eastAsia="Calibri" w:cs="Calibri"/>
          <w:color w:val="000000"/>
          <w:sz w:val="22"/>
          <w:szCs w:val="22"/>
        </w:rPr>
        <w:t xml:space="preserve">, 217–229.</w:t>
      </w:r>
    </w:p>
    <w:p>
      <w:pPr>
        <w:widowControl w:val="on"/>
        <w:pBdr/>
        <w:spacing w:before="220" w:after="220" w:line="240" w:lineRule="auto"/>
        <w:ind w:left="0" w:right="0"/>
        <w:jc w:val="left"/>
      </w:pPr>
      <w:r>
        <w:rPr>
          <w:rFonts w:ascii="Calibri" w:hAnsi="Calibri" w:eastAsia="Calibri" w:cs="Calibri"/>
          <w:color w:val="000000"/>
          <w:sz w:val="22"/>
          <w:szCs w:val="22"/>
        </w:rPr>
        <w:t xml:space="preserve">Kumar M &amp; Rao GP (2017) Molecular characterization, vector identification and sources of phytoplasmas associated with brinjal little leaf disease in India. </w:t>
      </w:r>
      <w:r>
        <w:rPr>
          <w:rFonts w:ascii="Calibri" w:hAnsi="Calibri" w:eastAsia="Calibri" w:cs="Calibri"/>
          <w:i/>
          <w:iCs/>
          <w:color w:val="000000"/>
          <w:sz w:val="22"/>
          <w:szCs w:val="22"/>
        </w:rPr>
        <w:t xml:space="preserve">3 Biotech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 7.</w:t>
      </w:r>
    </w:p>
    <w:p>
      <w:pPr>
        <w:widowControl w:val="on"/>
        <w:pBdr/>
        <w:spacing w:before="220" w:after="220" w:line="240" w:lineRule="auto"/>
        <w:ind w:left="0" w:right="0"/>
        <w:jc w:val="left"/>
      </w:pPr>
      <w:r>
        <w:rPr>
          <w:rFonts w:ascii="Calibri" w:hAnsi="Calibri" w:eastAsia="Calibri" w:cs="Calibri"/>
          <w:color w:val="000000"/>
          <w:sz w:val="22"/>
          <w:szCs w:val="22"/>
        </w:rPr>
        <w:t xml:space="preserve">Lazebnik J, Frago E, Dicke M &amp; van Loon JJA (2014) Phytohormone mediation of interactions between herbivores and plant pathogens.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730-741.</w:t>
      </w:r>
    </w:p>
    <w:p>
      <w:pPr>
        <w:widowControl w:val="on"/>
        <w:pBdr/>
        <w:spacing w:before="220" w:after="220" w:line="240" w:lineRule="auto"/>
        <w:ind w:left="0" w:right="0"/>
        <w:jc w:val="left"/>
      </w:pPr>
      <w:r>
        <w:rPr>
          <w:rFonts w:ascii="Calibri" w:hAnsi="Calibri" w:eastAsia="Calibri" w:cs="Calibri"/>
          <w:color w:val="000000"/>
          <w:sz w:val="22"/>
          <w:szCs w:val="22"/>
        </w:rPr>
        <w:t xml:space="preserve">Najafiniya M &amp; Azadvar M (2016) Witches broom disease of lime and its management.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330–332.</w:t>
      </w:r>
    </w:p>
    <w:p>
      <w:pPr>
        <w:widowControl w:val="on"/>
        <w:pBdr/>
        <w:spacing w:before="220" w:after="220" w:line="240" w:lineRule="auto"/>
        <w:ind w:left="0" w:right="0"/>
        <w:jc w:val="left"/>
      </w:pPr>
      <w:r>
        <w:rPr>
          <w:rFonts w:ascii="Calibri" w:hAnsi="Calibri" w:eastAsia="Calibri" w:cs="Calibri"/>
          <w:color w:val="000000"/>
          <w:sz w:val="22"/>
          <w:szCs w:val="22"/>
        </w:rPr>
        <w:t xml:space="preserve">Nielson MW (1968) The leafhopper vectors of phytopathogenic viruses (Homoptera: Cicadellidae). Taxonomy, biology, and virus transmission.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1382</w:t>
      </w:r>
      <w:r>
        <w:rPr>
          <w:rFonts w:ascii="Calibri" w:hAnsi="Calibri" w:eastAsia="Calibri" w:cs="Calibri"/>
          <w:color w:val="000000"/>
          <w:sz w:val="22"/>
          <w:szCs w:val="22"/>
        </w:rPr>
        <w:t xml:space="preserve">, 386.</w:t>
      </w:r>
    </w:p>
    <w:p>
      <w:pPr>
        <w:widowControl w:val="on"/>
        <w:pBdr/>
        <w:spacing w:before="220" w:after="220" w:line="240" w:lineRule="auto"/>
        <w:ind w:left="0" w:right="0"/>
        <w:jc w:val="left"/>
      </w:pPr>
      <w:r>
        <w:rPr>
          <w:rFonts w:ascii="Calibri" w:hAnsi="Calibri" w:eastAsia="Calibri" w:cs="Calibri"/>
          <w:color w:val="000000"/>
          <w:sz w:val="22"/>
          <w:szCs w:val="22"/>
        </w:rPr>
        <w:t xml:space="preserve">Olivier C, Vincent C, Saguez J, Galka B, Weintraub PG &amp; Maixner M (2012) Leafhoppers and plant hoppers: their bionomics, pathogen transmission, and management in vineyards. In </w:t>
      </w:r>
      <w:r>
        <w:rPr>
          <w:rFonts w:ascii="Calibri" w:hAnsi="Calibri" w:eastAsia="Calibri" w:cs="Calibri"/>
          <w:i/>
          <w:iCs/>
          <w:color w:val="000000"/>
          <w:sz w:val="22"/>
          <w:szCs w:val="22"/>
        </w:rPr>
        <w:t xml:space="preserve">Arthropod management in vineyards: pests approaches and future directions</w:t>
      </w:r>
      <w:r>
        <w:rPr>
          <w:rFonts w:ascii="Calibri" w:hAnsi="Calibri" w:eastAsia="Calibri" w:cs="Calibri"/>
          <w:color w:val="000000"/>
          <w:sz w:val="22"/>
          <w:szCs w:val="22"/>
        </w:rPr>
        <w:t xml:space="preserve"> (eds Bostanian NJ, Vincent C &amp; Isaacs R) pp. 504. Springer,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Queiroz RB (2014) Interactions between the citrus pathogen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and hemipteran vectors. MSc Thesis the Federal University of Vicosa, Brasil. 72 pp.</w:t>
      </w:r>
    </w:p>
    <w:p>
      <w:pPr>
        <w:widowControl w:val="on"/>
        <w:pBdr/>
        <w:spacing w:before="220" w:after="220" w:line="240" w:lineRule="auto"/>
        <w:ind w:left="0" w:right="0"/>
        <w:jc w:val="left"/>
      </w:pPr>
      <w:r>
        <w:rPr>
          <w:rFonts w:ascii="Calibri" w:hAnsi="Calibri" w:eastAsia="Calibri" w:cs="Calibri"/>
          <w:color w:val="000000"/>
          <w:sz w:val="22"/>
          <w:szCs w:val="22"/>
        </w:rPr>
        <w:t xml:space="preserve">Razvi SA, Al-Shidi R, Al-Zadjali NM &amp; Al-Raeesy YM (2007) Hemipteran hopper species associated with acid lime plants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L.) in the Sultanate of Oman: Candidate vectors of witches’-broom disease of Lime. </w:t>
      </w:r>
      <w:r>
        <w:rPr>
          <w:rFonts w:ascii="Calibri" w:hAnsi="Calibri" w:eastAsia="Calibri" w:cs="Calibri"/>
          <w:i/>
          <w:iCs/>
          <w:color w:val="000000"/>
          <w:sz w:val="22"/>
          <w:szCs w:val="22"/>
        </w:rPr>
        <w:t xml:space="preserve">Agricultural and Marine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53–65.</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Bagheri A, Faghihi MM &amp; Izadpanah K (2017) Study of partial biological and behavioral traits of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vector of lime witches’ broom, for management of the disease. </w:t>
      </w:r>
      <w:r>
        <w:rPr>
          <w:rFonts w:ascii="Calibri" w:hAnsi="Calibri" w:eastAsia="Calibri" w:cs="Calibri"/>
          <w:i/>
          <w:iCs/>
          <w:color w:val="000000"/>
          <w:sz w:val="22"/>
          <w:szCs w:val="22"/>
        </w:rPr>
        <w:t xml:space="preserve">Iranian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 75-96.</w:t>
      </w:r>
    </w:p>
    <w:p>
      <w:pPr>
        <w:widowControl w:val="on"/>
        <w:pBdr/>
        <w:spacing w:before="220" w:after="220" w:line="240" w:lineRule="auto"/>
        <w:ind w:left="0" w:right="0"/>
        <w:jc w:val="left"/>
      </w:pPr>
      <w:r>
        <w:rPr>
          <w:rFonts w:ascii="Calibri" w:hAnsi="Calibri" w:eastAsia="Calibri" w:cs="Calibri"/>
          <w:color w:val="000000"/>
          <w:sz w:val="22"/>
          <w:szCs w:val="22"/>
        </w:rPr>
        <w:t xml:space="preserve">Shabani M, Bertheau C, Zeinalabedini M, Sarafrazi A, Mardi M, Naraghi SM, Rahimian H &amp; Shojaee M (2013) Population genetic structure and ecological niche modeling of the leafhopper </w:t>
      </w:r>
      <w:r>
        <w:rPr>
          <w:rFonts w:ascii="Calibri" w:hAnsi="Calibri" w:eastAsia="Calibri" w:cs="Calibri"/>
          <w:i/>
          <w:iCs/>
          <w:color w:val="000000"/>
          <w:sz w:val="22"/>
          <w:szCs w:val="22"/>
        </w:rPr>
        <w:t xml:space="preserve">Hishimonus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phycitis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173-183.</w:t>
      </w:r>
    </w:p>
    <w:p>
      <w:pPr>
        <w:widowControl w:val="on"/>
        <w:pBdr/>
        <w:spacing w:before="220" w:after="220" w:line="240" w:lineRule="auto"/>
        <w:ind w:left="0" w:right="0"/>
        <w:jc w:val="left"/>
      </w:pPr>
      <w:r>
        <w:rPr>
          <w:rFonts w:ascii="Calibri" w:hAnsi="Calibri" w:eastAsia="Calibri" w:cs="Calibri"/>
          <w:color w:val="000000"/>
          <w:sz w:val="22"/>
          <w:szCs w:val="22"/>
        </w:rPr>
        <w:t xml:space="preserve">Srinivasan K &amp; Chelliah S (1980) The mechanism of preference of the leafhopper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(Distant) for eggplants infected with little leaf disease. Proceeding of the Indian National Science Academy </w:t>
      </w:r>
      <w:r>
        <w:rPr>
          <w:rFonts w:ascii="Calibri" w:hAnsi="Calibri" w:eastAsia="Calibri" w:cs="Calibri"/>
          <w:b/>
          <w:bCs/>
          <w:color w:val="000000"/>
          <w:sz w:val="22"/>
          <w:szCs w:val="22"/>
        </w:rPr>
        <w:t xml:space="preserve">B46</w:t>
      </w:r>
      <w:r>
        <w:rPr>
          <w:rFonts w:ascii="Calibri" w:hAnsi="Calibri" w:eastAsia="Calibri" w:cs="Calibri"/>
          <w:color w:val="000000"/>
          <w:sz w:val="22"/>
          <w:szCs w:val="22"/>
        </w:rPr>
        <w:t xml:space="preserve">, 786-796.</w:t>
      </w:r>
    </w:p>
    <w:p>
      <w:pPr>
        <w:widowControl w:val="on"/>
        <w:pBdr/>
        <w:spacing w:before="220" w:after="220" w:line="240" w:lineRule="auto"/>
        <w:ind w:left="0" w:right="0"/>
        <w:jc w:val="left"/>
      </w:pPr>
      <w:r>
        <w:rPr>
          <w:rFonts w:ascii="Calibri" w:hAnsi="Calibri" w:eastAsia="Calibri" w:cs="Calibri"/>
          <w:color w:val="000000"/>
          <w:sz w:val="22"/>
          <w:szCs w:val="22"/>
        </w:rPr>
        <w:t xml:space="preserve">Uhler PR (1896) Summary of the Hemiptera of Japan, Presented to the United States National Museum by Professor Mitzukuri, vol 19. US Government Printing Office.</w:t>
      </w:r>
    </w:p>
    <w:p>
      <w:pPr>
        <w:widowControl w:val="on"/>
        <w:pBdr/>
        <w:spacing w:before="220" w:after="220" w:line="240" w:lineRule="auto"/>
        <w:ind w:left="0" w:right="0"/>
        <w:jc w:val="left"/>
      </w:pPr>
      <w:r>
        <w:rPr>
          <w:rFonts w:ascii="Calibri" w:hAnsi="Calibri" w:eastAsia="Calibri" w:cs="Calibri"/>
          <w:color w:val="000000"/>
          <w:sz w:val="22"/>
          <w:szCs w:val="22"/>
        </w:rPr>
        <w:t xml:space="preserve">Un Nabi S, Dubey DK, Rao GP, Baranwal VK &amp; Sharma P (2015) Molecular characterization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asteris’ subgroup I-B associated with sesame phyllody disease and identification of its natural vector and weed reservoir in India.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289e297.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Chamran Hemmati and Mehrnoosh Nikooei (University of Hormozgan, Iran).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EPPO datasheets on pests recommended for regulation. Available online. </w:t>
      </w:r>
      <w:hyperlink r:id="rId48726685351061fb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7953316" name="name1719668535106210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142668535106210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287659">
    <w:multiLevelType w:val="hybridMultilevel"/>
    <w:lvl w:ilvl="0" w:tplc="11772625">
      <w:start w:val="1"/>
      <w:numFmt w:val="decimal"/>
      <w:lvlText w:val="%1."/>
      <w:lvlJc w:val="left"/>
      <w:pPr>
        <w:ind w:left="720" w:hanging="360"/>
      </w:pPr>
    </w:lvl>
    <w:lvl w:ilvl="1" w:tplc="11772625" w:tentative="1">
      <w:start w:val="1"/>
      <w:numFmt w:val="lowerLetter"/>
      <w:lvlText w:val="%2."/>
      <w:lvlJc w:val="left"/>
      <w:pPr>
        <w:ind w:left="1440" w:hanging="360"/>
      </w:pPr>
    </w:lvl>
    <w:lvl w:ilvl="2" w:tplc="11772625" w:tentative="1">
      <w:start w:val="1"/>
      <w:numFmt w:val="lowerRoman"/>
      <w:lvlText w:val="%3."/>
      <w:lvlJc w:val="right"/>
      <w:pPr>
        <w:ind w:left="2160" w:hanging="180"/>
      </w:pPr>
    </w:lvl>
    <w:lvl w:ilvl="3" w:tplc="11772625" w:tentative="1">
      <w:start w:val="1"/>
      <w:numFmt w:val="decimal"/>
      <w:lvlText w:val="%4."/>
      <w:lvlJc w:val="left"/>
      <w:pPr>
        <w:ind w:left="2880" w:hanging="360"/>
      </w:pPr>
    </w:lvl>
    <w:lvl w:ilvl="4" w:tplc="11772625" w:tentative="1">
      <w:start w:val="1"/>
      <w:numFmt w:val="lowerLetter"/>
      <w:lvlText w:val="%5."/>
      <w:lvlJc w:val="left"/>
      <w:pPr>
        <w:ind w:left="3600" w:hanging="360"/>
      </w:pPr>
    </w:lvl>
    <w:lvl w:ilvl="5" w:tplc="11772625" w:tentative="1">
      <w:start w:val="1"/>
      <w:numFmt w:val="lowerRoman"/>
      <w:lvlText w:val="%6."/>
      <w:lvlJc w:val="right"/>
      <w:pPr>
        <w:ind w:left="4320" w:hanging="180"/>
      </w:pPr>
    </w:lvl>
    <w:lvl w:ilvl="6" w:tplc="11772625" w:tentative="1">
      <w:start w:val="1"/>
      <w:numFmt w:val="decimal"/>
      <w:lvlText w:val="%7."/>
      <w:lvlJc w:val="left"/>
      <w:pPr>
        <w:ind w:left="5040" w:hanging="360"/>
      </w:pPr>
    </w:lvl>
    <w:lvl w:ilvl="7" w:tplc="11772625" w:tentative="1">
      <w:start w:val="1"/>
      <w:numFmt w:val="lowerLetter"/>
      <w:lvlText w:val="%8."/>
      <w:lvlJc w:val="left"/>
      <w:pPr>
        <w:ind w:left="5760" w:hanging="360"/>
      </w:pPr>
    </w:lvl>
    <w:lvl w:ilvl="8" w:tplc="11772625" w:tentative="1">
      <w:start w:val="1"/>
      <w:numFmt w:val="lowerRoman"/>
      <w:lvlText w:val="%9."/>
      <w:lvlJc w:val="right"/>
      <w:pPr>
        <w:ind w:left="6480" w:hanging="180"/>
      </w:pPr>
    </w:lvl>
  </w:abstractNum>
  <w:abstractNum w:abstractNumId="38287658">
    <w:multiLevelType w:val="hybridMultilevel"/>
    <w:lvl w:ilvl="0" w:tplc="473882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287658">
    <w:abstractNumId w:val="38287658"/>
  </w:num>
  <w:num w:numId="38287659">
    <w:abstractNumId w:val="382876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0066246" Type="http://schemas.microsoft.com/office/2011/relationships/commentsExtended" Target="commentsExtended.xml"/><Relationship Id="rId491955379" Type="http://schemas.microsoft.com/office/2011/relationships/people" Target="people.xml"/><Relationship Id="rId8435668535105eb14" Type="http://schemas.openxmlformats.org/officeDocument/2006/relationships/hyperlink" Target="https://gd.eppo.int/taxon/HISHPH/" TargetMode="External"/><Relationship Id="rId9339668535105eb59" Type="http://schemas.openxmlformats.org/officeDocument/2006/relationships/hyperlink" Target="https://gd.eppo.int/taxon/HISHPH/categorization" TargetMode="External"/><Relationship Id="rId7844668535106154f" Type="http://schemas.openxmlformats.org/officeDocument/2006/relationships/hyperlink" Target="https://doi.org/10.3390/insects10050120" TargetMode="External"/><Relationship Id="rId287866853510615df" Type="http://schemas.openxmlformats.org/officeDocument/2006/relationships/hyperlink" Target="https://doi.org/10.2903/j.efsa.2017.5037" TargetMode="External"/><Relationship Id="rId52796685351061675" Type="http://schemas.openxmlformats.org/officeDocument/2006/relationships/hyperlink" Target="https://arcg.is/19SK8v" TargetMode="External"/><Relationship Id="rId4848668535106170c" Type="http://schemas.openxmlformats.org/officeDocument/2006/relationships/hyperlink" Target="https://eur-lex.europa.eu/legal-content/EN/TXT/?uri=CELEX%3A32019R2072" TargetMode="External"/><Relationship Id="rId48726685351061fbd" Type="http://schemas.openxmlformats.org/officeDocument/2006/relationships/hyperlink" Target="https://gd.eppo.int" TargetMode="External"/><Relationship Id="rId67066685351060260" Type="http://schemas.openxmlformats.org/officeDocument/2006/relationships/image" Target="media/imgrId67066685351060260.jpg"/><Relationship Id="rId7142668535106210a" Type="http://schemas.openxmlformats.org/officeDocument/2006/relationships/image" Target="media/imgrId7142668535106210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