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Hakea sericea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Hakea sericea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Schrader &amp; J.C. Wendland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eudicots: Proteales: Proteaceae: Grevilleoideae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Hakea acicularis</w:t>
            </w:r>
            <w:r>
              <w:rPr>
                <w:rFonts w:ascii="Calibri" w:hAnsi="Calibri" w:eastAsia="Calibri" w:cs="Calibri"/>
                <w:color w:val="000000"/>
                <w:position w:val="-3"/>
                <w:sz w:val="22"/>
                <w:szCs w:val="22"/>
              </w:rPr>
              <w:t xml:space="preserve"> (Smith ex Ventenat) Knight, </w:t>
            </w:r>
            <w:r>
              <w:rPr>
                <w:rFonts w:ascii="Calibri" w:hAnsi="Calibri" w:eastAsia="Calibri" w:cs="Calibri"/>
                <w:i/>
                <w:iCs/>
                <w:color w:val="000000"/>
                <w:position w:val="-3"/>
                <w:sz w:val="22"/>
                <w:szCs w:val="22"/>
              </w:rPr>
              <w:t xml:space="preserve">Hakea tenuifolia</w:t>
            </w:r>
            <w:r>
              <w:rPr>
                <w:rFonts w:ascii="Calibri" w:hAnsi="Calibri" w:eastAsia="Calibri" w:cs="Calibri"/>
                <w:color w:val="000000"/>
                <w:position w:val="-3"/>
                <w:sz w:val="22"/>
                <w:szCs w:val="22"/>
              </w:rPr>
              <w:t xml:space="preserve"> (Salisbury) Britten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needlebush, prickly hakea, silky hakea (ZA), silky wattle</w:t>
            </w:r>
            <w:hyperlink r:id="rId16916803a7bf6481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48166803a7bf6488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HKASE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0882788" name="name87466803a7bf652d2" descr="5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63.jpg"/>
                          <pic:cNvPicPr/>
                        </pic:nvPicPr>
                        <pic:blipFill>
                          <a:blip r:embed="rId55666803a7bf652d0" cstate="print"/>
                          <a:stretch>
                            <a:fillRect/>
                          </a:stretch>
                        </pic:blipFill>
                        <pic:spPr>
                          <a:xfrm>
                            <a:off x="0" y="0"/>
                            <a:ext cx="2160000" cy="1281600"/>
                          </a:xfrm>
                          <a:prstGeom prst="rect">
                            <a:avLst/>
                          </a:prstGeom>
                          <a:ln w="0">
                            <a:noFill/>
                          </a:ln>
                        </pic:spPr>
                      </pic:pic>
                    </a:graphicData>
                  </a:graphic>
                </wp:inline>
              </w:drawing>
            </w:r>
            <w:hyperlink r:id="rId54316803a7bf6543d"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is native to South-Eastern Australia. Specifically, it is found in South-Eastern Queensland (Mt Barney, Mt Maroon and Mt Mee) and South-Eastern New South Wales, with non-native occurrences in South Africa, New Zealand and South-West Europe (Barker, 1996; CABI,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first recorded in 1858 (Shaughnessy, 1986). Dense stands now occur in the Western and Eastern Cape Provinces (Richardson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CABI (2017) details that following its introduction into South Africa the plant became naturalized in nearly all the major coastal mountain ranges of the Western and Eastern Cape Provinces. In the Bathurst district, Eastern Cape, some farmers recognized the plant as a potential threat as early as 1863. The Knysna Farmers Union (Western Cape) requested that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be declared a noxious weed in 1925 as it was invading valuable pasture land (Phillips, 1938). The species has also been collected from Angola, although the current status is not known (Instituto de Investigacão Científica Tropical, 2008-2017a, b).</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has been cultivated as a hedge plant in Portugal (including Madeira) since the 1930s (Espírito Santo &amp; Arsénio, 1999). Early records exist for the introduction of the species into European botanical gardens; for example, according to </w:t>
      </w:r>
      <w:r>
        <w:rPr>
          <w:rFonts w:ascii="Calibri" w:hAnsi="Calibri" w:eastAsia="Calibri" w:cs="Calibri"/>
          <w:i/>
          <w:iCs/>
          <w:color w:val="000000"/>
          <w:sz w:val="22"/>
          <w:szCs w:val="22"/>
        </w:rPr>
        <w:t xml:space="preserve">Hortus Kewenis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was introduced in the UK around 1790. In addition,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listed in the volume </w:t>
      </w:r>
      <w:r>
        <w:rPr>
          <w:rFonts w:ascii="Calibri" w:hAnsi="Calibri" w:eastAsia="Calibri" w:cs="Calibri"/>
          <w:i/>
          <w:iCs/>
          <w:color w:val="000000"/>
          <w:sz w:val="22"/>
          <w:szCs w:val="22"/>
        </w:rPr>
        <w:t xml:space="preserve">Hortus Nympheburgensis </w:t>
      </w:r>
      <w:r>
        <w:rPr>
          <w:rFonts w:ascii="Calibri" w:hAnsi="Calibri" w:eastAsia="Calibri" w:cs="Calibri"/>
          <w:color w:val="000000"/>
          <w:sz w:val="22"/>
          <w:szCs w:val="22"/>
        </w:rPr>
        <w:t xml:space="preserve">dated 1821, in the catalogue of the Royal Botanic Garden of Glasgow (1825).</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been known to have naturalized in the environment in the EPPO region since 1940 and has since become highly invasive in some areas (Espírito Santo &amp; Arsénio, 1999; Marchante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Martins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Spain,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known only from Galicia (Sañudo, 2006; Xunta de Galicia, n.d.). In France,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present in the south-east of the country (Provence-Alpes-Côte d’Azur; EPPO, 2015) in the Esterel Mountains, in both the Var and the Alpes-Maritimes departments (A. Albert, pers. comm., 2017; Fried, 2010). Fried (2010) states that it is naturalized in France. It is reported to have been first recorded in France in 1917.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native to South-Eastern Australia (Barker, 1996).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recorded in New Zealand as a non-native species which invades native plant communities (</w:t>
      </w:r>
      <w:r>
        <w:rPr>
          <w:rFonts w:ascii="Calibri" w:hAnsi="Calibri" w:eastAsia="Calibri" w:cs="Calibri"/>
          <w:i/>
          <w:iCs/>
          <w:color w:val="000000"/>
          <w:sz w:val="22"/>
          <w:szCs w:val="22"/>
        </w:rPr>
        <w:t xml:space="preserve">Leptospermum </w:t>
      </w:r>
      <w:r>
        <w:rPr>
          <w:rFonts w:ascii="Calibri" w:hAnsi="Calibri" w:eastAsia="Calibri" w:cs="Calibri"/>
          <w:color w:val="000000"/>
          <w:sz w:val="22"/>
          <w:szCs w:val="22"/>
        </w:rPr>
        <w:t xml:space="preserve">and gumland communities; Beever,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2191662" name="name45866803a7bf664dc" descr="HKAS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KASE_distribution_map.jpg"/>
                    <pic:cNvPicPr/>
                  </pic:nvPicPr>
                  <pic:blipFill>
                    <a:blip r:embed="rId97156803a7bf664d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Portugal (mainland, Madeira), Spain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South Africa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Tasmania,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Evergreen shrub or small tree.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serice</w:t>
      </w:r>
      <w:r>
        <w:rPr>
          <w:rFonts w:ascii="Calibri" w:hAnsi="Calibri" w:eastAsia="Calibri" w:cs="Calibri"/>
          <w:color w:val="000000"/>
          <w:sz w:val="22"/>
          <w:szCs w:val="22"/>
        </w:rPr>
        <w:t xml:space="preserve">a is an erect, single-stemmed, woody shrub or small tree, 0.6–4.5 m in height, with somewhat angular stems. It has simple, needle-like leaves, which are terete (i.e. circular in cross-section), spiny and moderately appressed silky-hairy when young, but quickly becoming glabrous; these leaves are (1.3)2–4.3(5.3) cm long and 0.7–1(1.1) mm wide, with a longitudinal groove on the lower side (Barker, 1996). The inflorescence is an axillary umbel, consisting of (1)4–5(6) cream-coloured flowers, each with a moderately to densely white-hairy pedicel (2.2–5.0 mm long). One to two woody follicles or fruits, sometimes also referred to as capsules, are formed in each axil; the fruits are (2)2.5–3(4) cm long and 2–2.5 cm in diameter (Kluge &amp; Neser, 1991; Barker, 1996). The seeds are elliptic to obovate-elliptic, (16)19–25(31) mm long, (6)7–10(11.5) mm wide, each with a wing, either completely encircling the seed (although of unequal width on each side) or along one side only (Barker, 1996).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can be distinguished from the other main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species naturalized outside of Australia (i.e. </w:t>
      </w:r>
      <w:r>
        <w:rPr>
          <w:rFonts w:ascii="Calibri" w:hAnsi="Calibri" w:eastAsia="Calibri" w:cs="Calibri"/>
          <w:i/>
          <w:iCs/>
          <w:color w:val="000000"/>
          <w:sz w:val="22"/>
          <w:szCs w:val="22"/>
        </w:rPr>
        <w:t xml:space="preserve">Hakea gibbosa, Hakea drupacea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Hakea salicifolia</w:t>
      </w:r>
      <w:r>
        <w:rPr>
          <w:rFonts w:ascii="Calibri" w:hAnsi="Calibri" w:eastAsia="Calibri" w:cs="Calibri"/>
          <w:color w:val="000000"/>
          <w:sz w:val="22"/>
          <w:szCs w:val="22"/>
        </w:rPr>
        <w:t xml:space="preserve">) according to the following key, adapted from the flora by Webb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of the non-native plants of New Zealand. In Australia, 149 species (all endemic) are currently recognized by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experts; see Barker (1996) for guidance on distinguishing these. Also note that, in some cases, the genus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may be hard to distinguish from some morphologically similar </w:t>
      </w:r>
      <w:r>
        <w:rPr>
          <w:rFonts w:ascii="Calibri" w:hAnsi="Calibri" w:eastAsia="Calibri" w:cs="Calibri"/>
          <w:i/>
          <w:iCs/>
          <w:color w:val="000000"/>
          <w:sz w:val="22"/>
          <w:szCs w:val="22"/>
        </w:rPr>
        <w:t xml:space="preserve">Grevillea</w:t>
      </w:r>
      <w:r>
        <w:rPr>
          <w:rFonts w:ascii="Calibri" w:hAnsi="Calibri" w:eastAsia="Calibri" w:cs="Calibri"/>
          <w:color w:val="000000"/>
          <w:sz w:val="22"/>
          <w:szCs w:val="22"/>
        </w:rPr>
        <w:t xml:space="preserve"> species (Barker,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has a canopy-stored seed bank from which seeds are typically released from woody follicles (fruits) following the death of the plant, frequently caused by fire (Bradstock, 1991). In its native range (South-Eastern Australia), flowering occurs from winter to early spring (June–September) and produces woody fruits that can persist for several years (Brown &amp; Whelan, 1999). Fruit development begins in October soon after flowering, and fruits have been found to rapidly contribute to the availability of germinable seeds in the canopy seed bank (Brown &amp; Whelan, 1999). Seeds are released following the death of a branch; however, seeds can also be released from a small percentage of fruits that are on living branches (E. Marchante, pers. comm. 2017). The decline in the germinability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canopy seed banks has been found to be relatively slow, leading to a gradual increase in the size of seed banks over time (Brown &amp; Whelan, 1999). The flowering period in part of its European invaded range (France and Portugal) is given as December to April, i.e. as for the native range, winter to early spring (Paiva, 1997).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a widespread species in dry sclerophyll forests and heaths of South-Eastern Australia (Brown &amp; Whelan, 1999). The heathlands of South-Eastern Australia, including the Hawkesbury area in which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studied by Brown &amp; Whelan (1999), are described by Specht (1994) as having a warm temperate climate. According to Australian native plant gardening advice,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also has good drought resistance, although very restricted watering or heavy soil may lead to stunting (ANBG, 2017). Other gardening sources also report that the plant is resistant to drought and frost to -7°C when established (Moore, 2004).</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range mapped by Barker (1996) corresponds mainly to Köppen–Geiger climate zone Cfb (warm temperate, fully humid, warm summer), with a small overlap with Cfa, that is, the same, but with a ‘hot’ rather than warm summer (Kottek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Hawkesbury area is characterized by nutrient-deficient sandstone soils, typical of those on which heathland plant communities are found (Specht, 1994).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like other Proteaceae, is well adapted to the acidic, highly weathered soils of such areas (Lambers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Richardson (1984) also found quartzite and sandstone substrates to be correlated with the occurrence of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spp. in South Africa. In its European invaded range, Martins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showed that, at a gridded 1 km x 1 km scale, schist was an important predictor of the distribution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it was not important at the larger scale of a 10 km x 10 km regional grid. In general, in its European invaded range, disturbed areas (particularly road margins), forest margins, coastal grasslands and pine forest are all highlighted as additional habitats (Fried, 2010; Marchante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w:t>
      </w:r>
      <w:r>
        <w:rPr>
          <w:rFonts w:ascii="Calibri" w:hAnsi="Calibri" w:eastAsia="Calibri" w:cs="Calibri"/>
          <w:i/>
          <w:iCs/>
          <w:color w:val="000000"/>
          <w:sz w:val="22"/>
          <w:szCs w:val="22"/>
        </w:rPr>
        <w:t xml:space="preserve"> H. sericea</w:t>
      </w:r>
      <w:r>
        <w:rPr>
          <w:rFonts w:ascii="Calibri" w:hAnsi="Calibri" w:eastAsia="Calibri" w:cs="Calibri"/>
          <w:color w:val="000000"/>
          <w:sz w:val="22"/>
          <w:szCs w:val="22"/>
        </w:rPr>
        <w:t xml:space="preserve"> is reported as primarily a problem in the sclerophyll vegetation type known as mountain fynbos (Kluge &amp; Neser, 1991). Here there are various characteristics of the local habitat that enhance the invasiveness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(Kluge &amp; Neser, 1991). These include the virtual absence of competition from native tree species (Macdonald &amp; Richardson, 1986), the frequent occurrence of fire which is an important natural phenomenon in the Cape region (Kruger &amp; Bigalke, 1984), various kinds of human disturbance (e.g. altered fire regimes; Macdonald, 1984) and the lack of specialized natural enemies of the plant (Neser, 1968).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Fire is a key part of the life cycle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with the heat-resistant fruits accumulating on a plant throughout its lifetime. The plant itself is ‘absolutely fire sensitive’ (Morrison &amp; Renwick, 2000). However, after plant death, typically through fire, the fruits release their seeds (Kluge &amp; Neser, 1991). The strategy of storing seeds in the canopy in fire-resistant woody fruits is not unusual in fire-prone ecosystems (Cowling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and has been referred to as ‘serotiny’ (Lamont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or ‘bradyspory’ (Whelan, 1995). The strategy has been viewed as an adaptation to fire by some authors (Bradstock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although it is found in many parts of the world and is not always associated with fire (Bond &amp; van Wilgen, 1996). Fire frequency, seasonality and intensity are all important for the natural regeneration of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(e.g. Brown &amp; Whelan, 1999); for example, frequent fires may kill seedlings after the initial stimulation of seed release and germination. Fire dynamics are therefore important determinants of community composition in any ecosystem which is burnt at a frequency that regularly influences the regeneration cycles of any of its constituent species (Bond &amp; van Wilgen, 1996). For example, Brown &amp; Whelan (1999), studying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in its native Australia in the context of fire seasonality and community diversity, found that fire too early in the fruit ripening process could reduce the supply of viable seeds due to the unripe fruits still containing enough moisture to make heating lethal to young tissue.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has been identified as influencing fire regimes both positively and negatively (Mandle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increasing fuel loads and intensity, but decreasing spread and frequency (Van Wilgen &amp; Richardson, 1985; Holmes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van Wilgen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left"/>
      </w:pPr>
      <w:r>
        <w:rPr>
          <w:rFonts w:ascii="Calibri" w:hAnsi="Calibri" w:eastAsia="Calibri" w:cs="Calibri"/>
          <w:color w:val="000000"/>
          <w:sz w:val="22"/>
          <w:szCs w:val="22"/>
        </w:rPr>
        <w:t xml:space="preserve">There are no known natural enemies in the EPPO region.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been used for a range of purposes, including ornament and hedging (including use as a windbreak; Marchante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Henderson (2001) lists shelter, shade and ornament as its main uses. Reva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reviewed the possibility of promoting its use as biofuel, partly as means of control, in Portugal. Huryn &amp; Moller (1995) report that in New Zealand the plant is used by honey bees (</w:t>
      </w:r>
      <w:r>
        <w:rPr>
          <w:rFonts w:ascii="Calibri" w:hAnsi="Calibri" w:eastAsia="Calibri" w:cs="Calibri"/>
          <w:i/>
          <w:iCs/>
          <w:color w:val="000000"/>
          <w:sz w:val="22"/>
          <w:szCs w:val="22"/>
        </w:rPr>
        <w:t xml:space="preserve">Apis mellifera</w:t>
      </w:r>
      <w:r>
        <w:rPr>
          <w:rFonts w:ascii="Calibri" w:hAnsi="Calibri" w:eastAsia="Calibri" w:cs="Calibri"/>
          <w:color w:val="000000"/>
          <w:sz w:val="22"/>
          <w:szCs w:val="22"/>
        </w:rPr>
        <w:t xml:space="preserve"> Linnaeus, 1758) for both nectar and pollen. Use for honey production is also noted by Vieira (2002) in Madeira.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information on the value of the species in trade within the EPPO region. The UK Royal Horticultural Society list only one supplier (RHS, 2018). The species is also available from five suppliers via the German PPP Index </w:t>
      </w:r>
      <w:hyperlink r:id="rId14226803a7bf66e66" w:history="1">
        <w:r>
          <w:rPr>
            <w:rFonts w:ascii="Calibri" w:hAnsi="Calibri" w:eastAsia="Calibri" w:cs="Calibri"/>
            <w:color w:val="0000CC"/>
            <w:sz w:val="22"/>
            <w:szCs w:val="22"/>
            <w:u w:val="single"/>
          </w:rPr>
          <w:t xml:space="preserve">http://www.ppp-index.de/</w:t>
        </w:r>
      </w:hyperlink>
      <w:r>
        <w:rPr>
          <w:rFonts w:ascii="Calibri" w:hAnsi="Calibri" w:eastAsia="Calibri" w:cs="Calibri"/>
          <w:color w:val="000000"/>
          <w:sz w:val="22"/>
          <w:szCs w:val="22"/>
        </w:rPr>
        <w:t xml:space="preserve">. A further Internet search did not detail any additional suppliers within the European Union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have been the main pathway for entry into the EPPO region. The plant is known to be used as an ornamental and hedging species, and therefore could be imported as seeds or plants for this purpose (Henderson, 2001; Marchante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Human-assisted spread has played a role in the spread of the species within the pest risk analysis (PRA) area, and further use for ornamental, windbreak or honey-producing services is likely (Vieira, 2002; Marchante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dense</w:t>
      </w:r>
      <w:r>
        <w:rPr>
          <w:rFonts w:ascii="Calibri" w:hAnsi="Calibri" w:eastAsia="Calibri" w:cs="Calibri"/>
          <w:i/>
          <w:iCs/>
          <w:color w:val="000000"/>
          <w:sz w:val="22"/>
          <w:szCs w:val="22"/>
        </w:rPr>
        <w:t xml:space="preserve"> H. sericea</w:t>
      </w:r>
      <w:r>
        <w:rPr>
          <w:rFonts w:ascii="Calibri" w:hAnsi="Calibri" w:eastAsia="Calibri" w:cs="Calibri"/>
          <w:color w:val="000000"/>
          <w:sz w:val="22"/>
          <w:szCs w:val="22"/>
        </w:rPr>
        <w:t xml:space="preserve"> infestations threaten the biodiversity of the Cape Floral Kingdom, which is one of the six Floral Kingdoms of the world (Goldblatt, 1997). Dense stands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have brought about significant reductions in species richness in the unique and floristically rich mountain fynbos of the Western and Eastern Cape provinces of South Africa (Richardson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Dense thickets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are not unusual in the species’ invaded range, with Van Wilgen &amp; Richardson (1985) estimating densities of 8900 plants ha</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at one study site. The effects of such invasions on the local environment are complex, and they may not always alter fire regimes (Van Wilgen &amp; Richardson, 1985). However, Van Wilgen &amp; Richardson (1985) also considered that an increased fire risk was likely under certain circumstances, for example when extreme (i.e. hot, dry) weather might allow for the ignition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canopies, resulting in more intense fires than those seen in native vegetation.</w:t>
      </w:r>
    </w:p>
    <w:p>
      <w:pPr>
        <w:widowControl w:val="on"/>
        <w:pBdr/>
        <w:spacing w:before="220" w:after="220" w:line="240" w:lineRule="auto"/>
        <w:ind w:left="0" w:right="0"/>
        <w:jc w:val="both"/>
      </w:pPr>
      <w:r>
        <w:rPr>
          <w:rFonts w:ascii="Calibri" w:hAnsi="Calibri" w:eastAsia="Calibri" w:cs="Calibri"/>
          <w:color w:val="000000"/>
          <w:sz w:val="22"/>
          <w:szCs w:val="22"/>
        </w:rPr>
        <w:t xml:space="preserve">Van Wilgen &amp; Richardson (1985) note the low cover of native </w:t>
      </w:r>
      <w:r>
        <w:rPr>
          <w:rFonts w:ascii="Calibri" w:hAnsi="Calibri" w:eastAsia="Calibri" w:cs="Calibri"/>
          <w:i/>
          <w:iCs/>
          <w:color w:val="000000"/>
          <w:sz w:val="22"/>
          <w:szCs w:val="22"/>
        </w:rPr>
        <w:t xml:space="preserve">Protea</w:t>
      </w:r>
      <w:r>
        <w:rPr>
          <w:rFonts w:ascii="Calibri" w:hAnsi="Calibri" w:eastAsia="Calibri" w:cs="Calibri"/>
          <w:color w:val="000000"/>
          <w:sz w:val="22"/>
          <w:szCs w:val="22"/>
        </w:rPr>
        <w:t xml:space="preserve"> L. shrub species within stands of </w:t>
      </w:r>
      <w:r>
        <w:rPr>
          <w:rFonts w:ascii="Calibri" w:hAnsi="Calibri" w:eastAsia="Calibri" w:cs="Calibri"/>
          <w:i/>
          <w:iCs/>
          <w:color w:val="000000"/>
          <w:sz w:val="22"/>
          <w:szCs w:val="22"/>
        </w:rPr>
        <w:t xml:space="preserve">Hakea</w:t>
      </w:r>
      <w:r>
        <w:rPr>
          <w:rFonts w:ascii="Calibri" w:hAnsi="Calibri" w:eastAsia="Calibri" w:cs="Calibri"/>
          <w:color w:val="000000"/>
          <w:sz w:val="22"/>
          <w:szCs w:val="22"/>
        </w:rPr>
        <w:t xml:space="preserve">. Dense thickets of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suppress the natural vegetation, make access difficult or impossible, increase fire risk and are suspected of adversely reducing water run-off (Fugler, 1982). Richardson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reviewed existing data and recorded new quadrats in invaded and uninvaded fynbos, including five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sites, demonstrating lower native plant diversity in invaded stands on average (although the statistical analysis also included sites invaded by </w:t>
      </w:r>
      <w:r>
        <w:rPr>
          <w:rFonts w:ascii="Calibri" w:hAnsi="Calibri" w:eastAsia="Calibri" w:cs="Calibri"/>
          <w:i/>
          <w:iCs/>
          <w:color w:val="000000"/>
          <w:sz w:val="22"/>
          <w:szCs w:val="22"/>
        </w:rPr>
        <w:t xml:space="preserve">Acacia saligna</w:t>
      </w:r>
      <w:r>
        <w:rPr>
          <w:rFonts w:ascii="Calibri" w:hAnsi="Calibri" w:eastAsia="Calibri" w:cs="Calibri"/>
          <w:color w:val="000000"/>
          <w:sz w:val="22"/>
          <w:szCs w:val="22"/>
        </w:rPr>
        <w:t xml:space="preserve"> (Labill.) Wendl., </w:t>
      </w:r>
      <w:r>
        <w:rPr>
          <w:rFonts w:ascii="Calibri" w:hAnsi="Calibri" w:eastAsia="Calibri" w:cs="Calibri"/>
          <w:i/>
          <w:iCs/>
          <w:color w:val="000000"/>
          <w:sz w:val="22"/>
          <w:szCs w:val="22"/>
        </w:rPr>
        <w:t xml:space="preserve">Acacia melanoxylon</w:t>
      </w:r>
      <w:r>
        <w:rPr>
          <w:rFonts w:ascii="Calibri" w:hAnsi="Calibri" w:eastAsia="Calibri" w:cs="Calibri"/>
          <w:color w:val="000000"/>
          <w:sz w:val="22"/>
          <w:szCs w:val="22"/>
        </w:rPr>
        <w:t xml:space="preserve"> R.Br.,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Aiton and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D.Don). The lower cover and richness of native species after the burning of sites invaded by </w:t>
      </w:r>
      <w:r>
        <w:rPr>
          <w:rFonts w:ascii="Calibri" w:hAnsi="Calibri" w:eastAsia="Calibri" w:cs="Calibri"/>
          <w:i/>
          <w:iCs/>
          <w:color w:val="000000"/>
          <w:sz w:val="22"/>
          <w:szCs w:val="22"/>
        </w:rPr>
        <w:t xml:space="preserve">Hakea</w:t>
      </w:r>
      <w:r>
        <w:rPr>
          <w:rFonts w:ascii="Calibri" w:hAnsi="Calibri" w:eastAsia="Calibri" w:cs="Calibri"/>
          <w:color w:val="000000"/>
          <w:sz w:val="22"/>
          <w:szCs w:val="22"/>
        </w:rPr>
        <w:t xml:space="preserve">, contrasted with burnt uninvaded sites, also implies impacts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on native plant communities (Richardson &amp; van Wilgen, 1986). Breytenbach (1986) also cites unpublished survey data regarding the impacts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on native fynbos species, ascribing these to changes in light regimes in invaded stands. Given the similar structure and size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and many native Proteaceous shrubs in South Africa, it is perhaps not surprising that dense stands of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shrubs tend to exclude native species, although we note that much of the existing evidence in the literature is indirect. This may be due, at least in part, to the difficulty of access associated with stands of the plant, and the challenges associated with experimental work in this area.</w:t>
      </w:r>
    </w:p>
    <w:p>
      <w:pPr>
        <w:widowControl w:val="on"/>
        <w:pBdr/>
        <w:spacing w:before="220" w:after="220" w:line="240" w:lineRule="auto"/>
        <w:ind w:left="0" w:right="0"/>
        <w:jc w:val="both"/>
      </w:pPr>
      <w:r>
        <w:rPr>
          <w:rFonts w:ascii="Calibri" w:hAnsi="Calibri" w:eastAsia="Calibri" w:cs="Calibri"/>
          <w:color w:val="000000"/>
          <w:sz w:val="22"/>
          <w:szCs w:val="22"/>
        </w:rPr>
        <w:t xml:space="preserve">Breytenbach (1986) reports impacts of low-density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populations on native </w:t>
      </w:r>
      <w:r>
        <w:rPr>
          <w:rFonts w:ascii="Calibri" w:hAnsi="Calibri" w:eastAsia="Calibri" w:cs="Calibri"/>
          <w:i/>
          <w:iCs/>
          <w:color w:val="000000"/>
          <w:sz w:val="22"/>
          <w:szCs w:val="22"/>
        </w:rPr>
        <w:t xml:space="preserve">Protea </w:t>
      </w:r>
      <w:r>
        <w:rPr>
          <w:rFonts w:ascii="Calibri" w:hAnsi="Calibri" w:eastAsia="Calibri" w:cs="Calibri"/>
          <w:color w:val="000000"/>
          <w:sz w:val="22"/>
          <w:szCs w:val="22"/>
        </w:rPr>
        <w:t xml:space="preserve">species, reporting reduced leaf durations in </w:t>
      </w:r>
      <w:r>
        <w:rPr>
          <w:rFonts w:ascii="Calibri" w:hAnsi="Calibri" w:eastAsia="Calibri" w:cs="Calibri"/>
          <w:i/>
          <w:iCs/>
          <w:color w:val="000000"/>
          <w:sz w:val="22"/>
          <w:szCs w:val="22"/>
        </w:rPr>
        <w:t xml:space="preserve">Protea lorifolia</w:t>
      </w:r>
      <w:r>
        <w:rPr>
          <w:rFonts w:ascii="Calibri" w:hAnsi="Calibri" w:eastAsia="Calibri" w:cs="Calibri"/>
          <w:color w:val="000000"/>
          <w:sz w:val="22"/>
          <w:szCs w:val="22"/>
        </w:rPr>
        <w:t xml:space="preserve"> Fourc. and </w:t>
      </w:r>
      <w:r>
        <w:rPr>
          <w:rFonts w:ascii="Calibri" w:hAnsi="Calibri" w:eastAsia="Calibri" w:cs="Calibri"/>
          <w:i/>
          <w:iCs/>
          <w:color w:val="000000"/>
          <w:sz w:val="22"/>
          <w:szCs w:val="22"/>
        </w:rPr>
        <w:t xml:space="preserve">Leucadendron salignum</w:t>
      </w:r>
      <w:r>
        <w:rPr>
          <w:rFonts w:ascii="Calibri" w:hAnsi="Calibri" w:eastAsia="Calibri" w:cs="Calibri"/>
          <w:color w:val="000000"/>
          <w:sz w:val="22"/>
          <w:szCs w:val="22"/>
        </w:rPr>
        <w:t xml:space="preserve"> R.Br. along gradients of increasing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cover; changes in leaf duration may also influence soil nutrient dynamics (Breytenbach, 1986). Breytenbach (1986) speculates that this may be due to increased competition for water in invaded communities.</w:t>
      </w:r>
    </w:p>
    <w:p>
      <w:pPr>
        <w:widowControl w:val="on"/>
        <w:pBdr/>
        <w:spacing w:before="220" w:after="220" w:line="240" w:lineRule="auto"/>
        <w:ind w:left="0" w:right="0"/>
        <w:jc w:val="both"/>
      </w:pPr>
      <w:r>
        <w:rPr>
          <w:rFonts w:ascii="Calibri" w:hAnsi="Calibri" w:eastAsia="Calibri" w:cs="Calibri"/>
          <w:color w:val="000000"/>
          <w:sz w:val="22"/>
          <w:szCs w:val="22"/>
        </w:rPr>
        <w:t xml:space="preserve">In Portugal,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forms extensive dense monospecific stands which can exclude native plant species and/or change community composition, including associated fauna. Areas highly susceptible to invasion by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in the north of Portugal, are coincident with the distribution area of </w:t>
      </w:r>
      <w:r>
        <w:rPr>
          <w:rFonts w:ascii="Calibri" w:hAnsi="Calibri" w:eastAsia="Calibri" w:cs="Calibri"/>
          <w:i/>
          <w:iCs/>
          <w:color w:val="000000"/>
          <w:sz w:val="22"/>
          <w:szCs w:val="22"/>
        </w:rPr>
        <w:t xml:space="preserve">Succisa pinnatifida</w:t>
      </w:r>
      <w:r>
        <w:rPr>
          <w:rFonts w:ascii="Calibri" w:hAnsi="Calibri" w:eastAsia="Calibri" w:cs="Calibri"/>
          <w:color w:val="000000"/>
          <w:sz w:val="22"/>
          <w:szCs w:val="22"/>
        </w:rPr>
        <w:t xml:space="preserve"> Lange, a rare endemic of the Iberian Peninsula (J. Vicente, pers. comm. 2017). The high spread potential of the species acts to threaten and reduce the biodiversity of the Esterel Mountains in France, by eliminating less competitive native species of maquis and forest.</w:t>
      </w:r>
    </w:p>
    <w:p>
      <w:pPr>
        <w:widowControl w:val="on"/>
        <w:pBdr/>
        <w:spacing w:before="220" w:after="220" w:line="240" w:lineRule="auto"/>
        <w:ind w:left="0" w:right="0"/>
        <w:jc w:val="both"/>
      </w:pPr>
      <w:r>
        <w:rPr>
          <w:rFonts w:ascii="Calibri" w:hAnsi="Calibri" w:eastAsia="Calibri" w:cs="Calibri"/>
          <w:color w:val="000000"/>
          <w:sz w:val="22"/>
          <w:szCs w:val="22"/>
        </w:rPr>
        <w:t xml:space="preserve">In Portugal, several NATURA 2000 sites are to some extent invaded by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for example PTCON0001 (Serras da Peneda e Gerês), PTCON003 (Alvão/Marão), PTCON0024 (Valongo), PTCON0039 (Serra D’Arga), and PTCON0060 (Serra da Lousã). In France, one NATURA 2000 site, FR9301628 (Esterel), is invaded.</w:t>
      </w:r>
    </w:p>
    <w:p>
      <w:pPr>
        <w:widowControl w:val="on"/>
        <w:pBdr/>
        <w:spacing w:before="220" w:after="220" w:line="240" w:lineRule="auto"/>
        <w:ind w:left="0" w:right="0"/>
        <w:jc w:val="both"/>
      </w:pPr>
      <w:r>
        <w:rPr>
          <w:rFonts w:ascii="Calibri" w:hAnsi="Calibri" w:eastAsia="Calibri" w:cs="Calibri"/>
          <w:color w:val="000000"/>
          <w:sz w:val="22"/>
          <w:szCs w:val="22"/>
        </w:rPr>
        <w:t xml:space="preserve">These priority habitats contain rare and endangered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Thickets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increase fire hazard, particularly fire intensity (Van Wilgen &amp; Richardson, 1985). Van Wilgen &amp; Richardson (1985) found that invasion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in two fynbos sites resulted in a 60% increase in fuel loads and lowered the moisture content of live foliage. Statements concerning the impacts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on water availability are also regularly encountered (e.g. van Wilgen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Richardson &amp; van Wilgen, 2004), although these mostly appear to be reliant on indirect links between alien plants, wildfire, soil erosion and the resulting hydrological impacts (e.g. Scott &amp; van Wyk, 1990; Scott, 1993) rather than studies on stands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 se </w:t>
      </w:r>
      <w:r>
        <w:rPr>
          <w:rFonts w:ascii="Calibri" w:hAnsi="Calibri" w:eastAsia="Calibri" w:cs="Calibri"/>
          <w:color w:val="000000"/>
          <w:sz w:val="22"/>
          <w:szCs w:val="22"/>
        </w:rPr>
        <w:t xml:space="preserve">(van Wilgen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work of Breytenbach (1989) demonstrated links between increased fire intensity and soil runoff for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although this was specifically in the context of a particular management technique for control (cutting the plant, and then subsequently burning the stacked stems in order to kill off the next generation of seedlings), rather than an impact of</w:t>
      </w:r>
      <w:r>
        <w:rPr>
          <w:rFonts w:ascii="Calibri" w:hAnsi="Calibri" w:eastAsia="Calibri" w:cs="Calibri"/>
          <w:i/>
          <w:iCs/>
          <w:color w:val="000000"/>
          <w:sz w:val="22"/>
          <w:szCs w:val="22"/>
        </w:rPr>
        <w:t xml:space="preserve"> H. sericea</w:t>
      </w:r>
      <w:r>
        <w:rPr>
          <w:rFonts w:ascii="Calibri" w:hAnsi="Calibri" w:eastAsia="Calibri" w:cs="Calibri"/>
          <w:color w:val="000000"/>
          <w:sz w:val="22"/>
          <w:szCs w:val="22"/>
        </w:rPr>
        <w:t xml:space="preserve"> in itself. This study, relating as it does to a specific management action, appears to be the main evidence for an impact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on hydrological processes (e.g. Van Wilgen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Dense thickets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with its spiny leaves, may also affect cultural ecosystem services.</w:t>
      </w:r>
    </w:p>
    <w:p>
      <w:pPr>
        <w:widowControl w:val="on"/>
        <w:pBdr/>
        <w:spacing w:before="220" w:after="220" w:line="240" w:lineRule="auto"/>
        <w:ind w:left="0" w:right="0"/>
        <w:jc w:val="both"/>
      </w:pPr>
      <w:r>
        <w:rPr>
          <w:rFonts w:ascii="Calibri" w:hAnsi="Calibri" w:eastAsia="Calibri" w:cs="Calibri"/>
          <w:color w:val="000000"/>
          <w:sz w:val="22"/>
          <w:szCs w:val="22"/>
        </w:rPr>
        <w:t xml:space="preserve">Socio-economic impacts have been reported from the EPPO region where up to EUR 300 000 was spent in 2016–17 managing a population of approximately 12 ha in the Esterel Natural Park in the south of France which included costs of transporting removed plants by helicopter (A. Albert, pers. comm., 2017). In Portugal, control costs are estimated at EUR 1500 ha</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(E. Marchante, pers. comm. 2017).</w:t>
      </w:r>
    </w:p>
    <w:p>
      <w:pPr>
        <w:widowControl w:val="on"/>
        <w:pBdr/>
        <w:spacing w:before="220" w:after="220" w:line="240" w:lineRule="auto"/>
        <w:ind w:left="0" w:right="0"/>
        <w:jc w:val="both"/>
      </w:pPr>
      <w:r>
        <w:rPr>
          <w:rFonts w:ascii="Calibri" w:hAnsi="Calibri" w:eastAsia="Calibri" w:cs="Calibri"/>
          <w:color w:val="000000"/>
          <w:sz w:val="22"/>
          <w:szCs w:val="22"/>
        </w:rPr>
        <w:t xml:space="preserve">Dense thickets of the plant are likely to restrict access for livestock, grazing, hunting and recreation in Mediterranean regions, thus having a potential economic impact. As with any spiny shrub,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can injure people with its sharp leaves. CABI (2017) states that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poses a threat to the USD 40 million industry exporting ornamental </w:t>
      </w:r>
      <w:r>
        <w:rPr>
          <w:rFonts w:ascii="Calibri" w:hAnsi="Calibri" w:eastAsia="Calibri" w:cs="Calibri"/>
          <w:i/>
          <w:iCs/>
          <w:color w:val="000000"/>
          <w:sz w:val="22"/>
          <w:szCs w:val="22"/>
        </w:rPr>
        <w:t xml:space="preserve">Protea </w:t>
      </w:r>
      <w:r>
        <w:rPr>
          <w:rFonts w:ascii="Calibri" w:hAnsi="Calibri" w:eastAsia="Calibri" w:cs="Calibri"/>
          <w:color w:val="000000"/>
          <w:sz w:val="22"/>
          <w:szCs w:val="22"/>
        </w:rPr>
        <w:t xml:space="preserve">spp. from South Africa. It should be noted that there may also be indirect, but considerable, costs from impacts on water resources, biodiversity (in a socio-economic context) and amenities, but these are difficult to determine.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successful method for the control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in South Africa has been the ‘fell and burn’ technique, where adult plants are cut down and left for 12–18 months before they are burnt (Esler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This allows time for seed germination, meaning that the follow-up burn destroys seedlings before they become reproductively mature. One or two follow-up operations are necessary after the burn to eradicate any regenerating or coppicing plants. Although this is a very effective control method, the increased fire intensities using this technique can have a negative effect on sensitive ecosystems (Breytenbach, 1989). The manual eradication of seedlings is both time-consuming and expensive (Beever, 1988).</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has not played a large role in the control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in South Africa as it can have a negative effect on native vegetation. The costs of chemical control are also high as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occurs in dense thickets and inaccessible areas.</w:t>
      </w:r>
    </w:p>
    <w:p>
      <w:pPr>
        <w:widowControl w:val="on"/>
        <w:pBdr/>
        <w:spacing w:before="220" w:after="220" w:line="240" w:lineRule="auto"/>
        <w:ind w:left="0" w:right="0"/>
        <w:jc w:val="both"/>
      </w:pPr>
      <w:r>
        <w:rPr>
          <w:rFonts w:ascii="Calibri" w:hAnsi="Calibri" w:eastAsia="Calibri" w:cs="Calibri"/>
          <w:color w:val="000000"/>
          <w:sz w:val="22"/>
          <w:szCs w:val="22"/>
        </w:rPr>
        <w:t xml:space="preserve">A biological control programme against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initiated in South Africa in 1962 and is ongoing. Priority was given to seed-attacking insects, and the first insect releases were made in 1970 (Kluge &amp; Neser, 1991). A number of agents have been released to date. </w:t>
      </w:r>
      <w:r>
        <w:rPr>
          <w:rFonts w:ascii="Calibri" w:hAnsi="Calibri" w:eastAsia="Calibri" w:cs="Calibri"/>
          <w:i/>
          <w:iCs/>
          <w:color w:val="000000"/>
          <w:sz w:val="22"/>
          <w:szCs w:val="22"/>
        </w:rPr>
        <w:t xml:space="preserve">Erytenna consputa </w:t>
      </w:r>
      <w:r>
        <w:rPr>
          <w:rFonts w:ascii="Calibri" w:hAnsi="Calibri" w:eastAsia="Calibri" w:cs="Calibri"/>
          <w:color w:val="000000"/>
          <w:sz w:val="22"/>
          <w:szCs w:val="22"/>
        </w:rPr>
        <w:t xml:space="preserve">(Curculionidae: Erirhininae) has drastically reduced the annual seed production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at some sites (Neser &amp; Kluge, 1985; Kluge &amp; Neser, 1991; Gordon, 1999).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Carposina autologa</w:t>
      </w:r>
      <w:r>
        <w:rPr>
          <w:rFonts w:ascii="Calibri" w:hAnsi="Calibri" w:eastAsia="Calibri" w:cs="Calibri"/>
          <w:color w:val="000000"/>
          <w:sz w:val="22"/>
          <w:szCs w:val="22"/>
        </w:rPr>
        <w:t xml:space="preserve"> (Lepidoptera: Carposinidae) has reduced the mean number of accumulated seeds on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by up to 80% (Gordon, 1999). Despite these promising results, several factors are limiting its effectiveness. Firstly, an indigenous fungus, </w:t>
      </w:r>
      <w:r>
        <w:rPr>
          <w:rFonts w:ascii="Calibri" w:hAnsi="Calibri" w:eastAsia="Calibri" w:cs="Calibri"/>
          <w:i/>
          <w:iCs/>
          <w:color w:val="000000"/>
          <w:sz w:val="22"/>
          <w:szCs w:val="22"/>
        </w:rPr>
        <w:t xml:space="preserve">Colletotrichum acutatum </w:t>
      </w:r>
      <w:r>
        <w:rPr>
          <w:rFonts w:ascii="Calibri" w:hAnsi="Calibri" w:eastAsia="Calibri" w:cs="Calibri"/>
          <w:color w:val="000000"/>
          <w:sz w:val="22"/>
          <w:szCs w:val="22"/>
        </w:rPr>
        <w:t xml:space="preserve">J.H. Simmonds f.sp. </w:t>
      </w:r>
      <w:r>
        <w:rPr>
          <w:rFonts w:ascii="Calibri" w:hAnsi="Calibri" w:eastAsia="Calibri" w:cs="Calibri"/>
          <w:i/>
          <w:iCs/>
          <w:color w:val="000000"/>
          <w:sz w:val="22"/>
          <w:szCs w:val="22"/>
        </w:rPr>
        <w:t xml:space="preserve">hakeae </w:t>
      </w:r>
      <w:r>
        <w:rPr>
          <w:rFonts w:ascii="Calibri" w:hAnsi="Calibri" w:eastAsia="Calibri" w:cs="Calibri"/>
          <w:color w:val="000000"/>
          <w:sz w:val="22"/>
          <w:szCs w:val="22"/>
        </w:rPr>
        <w:t xml:space="preserve">Lubbe, Denman, P.F. Cannon, J.Z. Groenew., Lampr. &amp; Crous (</w:t>
      </w:r>
      <w:r>
        <w:rPr>
          <w:rFonts w:ascii="Calibri" w:hAnsi="Calibri" w:eastAsia="Calibri" w:cs="Calibri"/>
          <w:i/>
          <w:iCs/>
          <w:color w:val="000000"/>
          <w:sz w:val="22"/>
          <w:szCs w:val="22"/>
        </w:rPr>
        <w:t xml:space="preserve">Incertae sedis</w:t>
      </w:r>
      <w:r>
        <w:rPr>
          <w:rFonts w:ascii="Calibri" w:hAnsi="Calibri" w:eastAsia="Calibri" w:cs="Calibri"/>
          <w:color w:val="000000"/>
          <w:sz w:val="22"/>
          <w:szCs w:val="22"/>
        </w:rPr>
        <w:t xml:space="preserve">: Glomerellaceae), causes death and die-back of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in some areas and the fruits on infected trees split open and seeds fall to the ground resulting in larval mortality as the </w:t>
      </w:r>
      <w:r>
        <w:rPr>
          <w:rFonts w:ascii="Calibri" w:hAnsi="Calibri" w:eastAsia="Calibri" w:cs="Calibri"/>
          <w:i/>
          <w:iCs/>
          <w:color w:val="000000"/>
          <w:sz w:val="22"/>
          <w:szCs w:val="22"/>
        </w:rPr>
        <w:t xml:space="preserve">C. autologa</w:t>
      </w:r>
      <w:r>
        <w:rPr>
          <w:rFonts w:ascii="Calibri" w:hAnsi="Calibri" w:eastAsia="Calibri" w:cs="Calibri"/>
          <w:color w:val="000000"/>
          <w:sz w:val="22"/>
          <w:szCs w:val="22"/>
        </w:rPr>
        <w:t xml:space="preserve"> larvae are unable to move to new fruits (Gordon, 1993; Fourie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Gordon &amp; Lyons, 2017). Secondly, the moths are unable to distinguish between healthy and previously attacked fruits for oviposition, resulting in larval mortality. Thirdly, regular wild fires in the Western Cape cause local extinction of</w:t>
      </w:r>
      <w:r>
        <w:rPr>
          <w:rFonts w:ascii="Calibri" w:hAnsi="Calibri" w:eastAsia="Calibri" w:cs="Calibri"/>
          <w:i/>
          <w:iCs/>
          <w:color w:val="000000"/>
          <w:sz w:val="22"/>
          <w:szCs w:val="22"/>
        </w:rPr>
        <w:t xml:space="preserve"> C. autologa</w:t>
      </w:r>
      <w:r>
        <w:rPr>
          <w:rFonts w:ascii="Calibri" w:hAnsi="Calibri" w:eastAsia="Calibri" w:cs="Calibri"/>
          <w:color w:val="000000"/>
          <w:sz w:val="22"/>
          <w:szCs w:val="22"/>
        </w:rPr>
        <w:t xml:space="preserve"> and the moths take a long time to recolonize regenerating plants (Gordon &amp; Lyons, 2017).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Cydmaea binotata</w:t>
      </w:r>
      <w:r>
        <w:rPr>
          <w:rFonts w:ascii="Calibri" w:hAnsi="Calibri" w:eastAsia="Calibri" w:cs="Calibri"/>
          <w:color w:val="000000"/>
          <w:sz w:val="22"/>
          <w:szCs w:val="22"/>
        </w:rPr>
        <w:t xml:space="preserve"> (Curculionidae: Erirhininae) was released at 36 sites throughout the range of the weed but weevils have only since been recovered at four sites (Kluge &amp; Neser, 1991). The impact of the weevil on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has not been investigated in South Africa because their effect on the density of seedlings has been considered to be negligible (Fourie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Aphanasium australe</w:t>
      </w:r>
      <w:r>
        <w:rPr>
          <w:rFonts w:ascii="Calibri" w:hAnsi="Calibri" w:eastAsia="Calibri" w:cs="Calibri"/>
          <w:color w:val="000000"/>
          <w:sz w:val="22"/>
          <w:szCs w:val="22"/>
        </w:rPr>
        <w:t xml:space="preserve"> (Coleoptera: Cerambycidae) larvae tunnel gregariously at the base of stems and in the subsurface roots of the plant, leading to stem bases developing a characteristic thickening due to the formation of scar tissue. Although </w:t>
      </w:r>
      <w:r>
        <w:rPr>
          <w:rFonts w:ascii="Calibri" w:hAnsi="Calibri" w:eastAsia="Calibri" w:cs="Calibri"/>
          <w:i/>
          <w:iCs/>
          <w:color w:val="000000"/>
          <w:sz w:val="22"/>
          <w:szCs w:val="22"/>
        </w:rPr>
        <w:t xml:space="preserve">A. australe</w:t>
      </w:r>
      <w:r>
        <w:rPr>
          <w:rFonts w:ascii="Calibri" w:hAnsi="Calibri" w:eastAsia="Calibri" w:cs="Calibri"/>
          <w:color w:val="000000"/>
          <w:sz w:val="22"/>
          <w:szCs w:val="22"/>
        </w:rPr>
        <w:t xml:space="preserve"> does not kill mature plants growing under natural conditions, it is envisaged that trees subjected to additional stress, for example drought or strong winds, may be killed by larval damage (Fourie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first releases of this agent were made during January 2000.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Dicomada rufa</w:t>
      </w:r>
      <w:r>
        <w:rPr>
          <w:rFonts w:ascii="Calibri" w:hAnsi="Calibri" w:eastAsia="Calibri" w:cs="Calibri"/>
          <w:color w:val="000000"/>
          <w:sz w:val="22"/>
          <w:szCs w:val="22"/>
        </w:rPr>
        <w:t xml:space="preserve"> is a promising agent that is being considered for release to negate perceived weaknesses in the programme for biological control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The effectiveness of </w:t>
      </w:r>
      <w:r>
        <w:rPr>
          <w:rFonts w:ascii="Calibri" w:hAnsi="Calibri" w:eastAsia="Calibri" w:cs="Calibri"/>
          <w:i/>
          <w:iCs/>
          <w:color w:val="000000"/>
          <w:sz w:val="22"/>
          <w:szCs w:val="22"/>
        </w:rPr>
        <w:t xml:space="preserve">E. consputa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autologa </w:t>
      </w:r>
      <w:r>
        <w:rPr>
          <w:rFonts w:ascii="Calibri" w:hAnsi="Calibri" w:eastAsia="Calibri" w:cs="Calibri"/>
          <w:color w:val="000000"/>
          <w:sz w:val="22"/>
          <w:szCs w:val="22"/>
        </w:rPr>
        <w:t xml:space="preserve">is being hampered by periodic wildfires. Regenerating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plants only set seed 2–3 years after a burn, causing local extinction of </w:t>
      </w:r>
      <w:r>
        <w:rPr>
          <w:rFonts w:ascii="Calibri" w:hAnsi="Calibri" w:eastAsia="Calibri" w:cs="Calibri"/>
          <w:i/>
          <w:iCs/>
          <w:color w:val="000000"/>
          <w:sz w:val="22"/>
          <w:szCs w:val="22"/>
        </w:rPr>
        <w:t xml:space="preserve">E. consputa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autologa</w:t>
      </w:r>
      <w:r>
        <w:rPr>
          <w:rFonts w:ascii="Calibri" w:hAnsi="Calibri" w:eastAsia="Calibri" w:cs="Calibri"/>
          <w:color w:val="000000"/>
          <w:sz w:val="22"/>
          <w:szCs w:val="22"/>
        </w:rPr>
        <w:t xml:space="preserve"> as both agents require fruits for development. As </w:t>
      </w:r>
      <w:r>
        <w:rPr>
          <w:rFonts w:ascii="Calibri" w:hAnsi="Calibri" w:eastAsia="Calibri" w:cs="Calibri"/>
          <w:i/>
          <w:iCs/>
          <w:color w:val="000000"/>
          <w:sz w:val="22"/>
          <w:szCs w:val="22"/>
        </w:rPr>
        <w:t xml:space="preserve">D. rufa </w:t>
      </w:r>
      <w:r>
        <w:rPr>
          <w:rFonts w:ascii="Calibri" w:hAnsi="Calibri" w:eastAsia="Calibri" w:cs="Calibri"/>
          <w:color w:val="000000"/>
          <w:sz w:val="22"/>
          <w:szCs w:val="22"/>
        </w:rPr>
        <w:t xml:space="preserve">feeds on buds, flowers and succulent growth it is believed </w:t>
      </w:r>
      <w:r>
        <w:rPr>
          <w:rFonts w:ascii="Calibri" w:hAnsi="Calibri" w:eastAsia="Calibri" w:cs="Calibri"/>
          <w:i/>
          <w:iCs/>
          <w:color w:val="000000"/>
          <w:sz w:val="22"/>
          <w:szCs w:val="22"/>
        </w:rPr>
        <w:t xml:space="preserve">D. rufa</w:t>
      </w:r>
      <w:r>
        <w:rPr>
          <w:rFonts w:ascii="Calibri" w:hAnsi="Calibri" w:eastAsia="Calibri" w:cs="Calibri"/>
          <w:color w:val="000000"/>
          <w:sz w:val="22"/>
          <w:szCs w:val="22"/>
        </w:rPr>
        <w:t xml:space="preserve"> could make a significant contribution by limiting fruit production at this critical stage (Gordon, 1999).</w:t>
      </w:r>
    </w:p>
    <w:p>
      <w:pPr>
        <w:widowControl w:val="on"/>
        <w:pBdr/>
        <w:spacing w:before="220" w:after="220" w:line="240" w:lineRule="auto"/>
        <w:ind w:left="0" w:right="0"/>
        <w:jc w:val="both"/>
      </w:pPr>
      <w:r>
        <w:rPr>
          <w:rFonts w:ascii="Calibri" w:hAnsi="Calibri" w:eastAsia="Calibri" w:cs="Calibri"/>
          <w:color w:val="000000"/>
          <w:sz w:val="22"/>
          <w:szCs w:val="22"/>
        </w:rPr>
        <w:t xml:space="preserve">The ‘Working for Water’ programme in South Africa has been key for the mechanical control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but has identified biological control as the only long-term solution to prevent further spread of the weed and the re-invasion of cleared areas (Esler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2010). Biological control needs to be in place to prevent re-invasion of the weed and to limit the need for follow-up operations. However, largescale eradication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can lead to the local extinction of established biocontrol agents. The seed-feeding agents are particularly at risk because seedlings recolonizing burnt areas take a number of years before they set fruit. It is therefore essential that insect refuges or reserves are established in areas to be cleared. These insect refuges can then act as foci from which recolonization of re-invading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populations can occur and collections of agents for redistribution can be made. These reserves should be 1–5 ha in size, 10 km apart and consist of reproductive plants (Gordon,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added to the EPPO Alert List in 2007 and transferred to the EPPO List of invasive alien plants in 2012. In 2016,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PRA concluded that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had a high phytosanitary risk to the endangered area (EPPO, 2018) and was added to the EPPO A2 List of pests recommended for regulation. At the time of publishing,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being considered for inclusion on the list of Union concern (EU Regulation 1143/2014).</w:t>
      </w:r>
    </w:p>
    <w:p>
      <w:pPr>
        <w:widowControl w:val="on"/>
        <w:pBdr/>
        <w:spacing w:before="220" w:after="220" w:line="240" w:lineRule="auto"/>
        <w:ind w:left="0" w:right="0"/>
        <w:jc w:val="both"/>
      </w:pPr>
      <w:r>
        <w:rPr>
          <w:rFonts w:ascii="Calibri" w:hAnsi="Calibri" w:eastAsia="Calibri" w:cs="Calibri"/>
          <w:color w:val="000000"/>
          <w:sz w:val="22"/>
          <w:szCs w:val="22"/>
        </w:rPr>
        <w:t xml:space="preserve">In Spain,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included in the Annex II list of the Real Decreto (Royal Decree) 1168/2011. This is a list of potentially invasive species. Inclusion on this list means, among other things, that the introduction of the species listed is prohibited and that necessary measures should be taken for management, control and eradication (translated and abridged from Article 8 of Real Decreto 1168/2011).  In France, although there is no national regulation covering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specifically, at the department level, individual applications have been made for control orders against this species.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also included on a regional ‘black list’. In Portugal, legislation was passed in 1999 (Decreto-Lei 565/99) to address the issue of invasive alien species. Associated with the legislation is a list of invasive alien species.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included in this list, meaning that cultivation, use as an ornamental plant, release, sale, exchange and transport are all prohibited.</w:t>
      </w:r>
    </w:p>
    <w:p>
      <w:pPr>
        <w:widowControl w:val="on"/>
        <w:pBdr/>
        <w:spacing w:before="220" w:after="220" w:line="240" w:lineRule="auto"/>
        <w:ind w:left="0" w:right="0"/>
        <w:jc w:val="both"/>
      </w:pPr>
      <w:r>
        <w:rPr>
          <w:rFonts w:ascii="Calibri" w:hAnsi="Calibri" w:eastAsia="Calibri" w:cs="Calibri"/>
          <w:color w:val="000000"/>
          <w:sz w:val="22"/>
          <w:szCs w:val="22"/>
        </w:rPr>
        <w:t xml:space="preserve">In Israel, the species is considered to be a potential future risk, and is included in a recent list of ‘Israel’s Least Wanted Alien Ornamental Plant Species’. Although this ‘black list’ does not currently appear to have any legislative basis, it is being used by the Israel Ministry of Environmental Protection to advise planners on non-native species to avoid in planting schemes (Dufour-Dror, 2013).</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been included on many weed lists in New Zealand (Howell, 2008), including the ‘consolidated list’ of Howell (2008). It should be noted, however, the consolidated list itself does not have 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the control of the species was enabled by the Conservation of Agricultural Resources (CARA) Act 43 of 1983, as amended, in conjunction with the National Environmental Management: Biodiversity (NEMBA) Act 10 of 2004.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specifically defined as a Category 1b ‘invader species’ on the NEMBA mandated list of 2014 (Government of the Republic of South Africa, 2014). Category 1b means that the invasive species ‘must be controlled and wherever possible, removed and destroyed. Any form of trade or planting is strictly prohibited’ (</w:t>
      </w:r>
      <w:hyperlink r:id="rId46926803a7bf67f8f" w:history="1">
        <w:r>
          <w:rPr>
            <w:rFonts w:ascii="Calibri" w:hAnsi="Calibri" w:eastAsia="Calibri" w:cs="Calibri"/>
            <w:color w:val="0000CC"/>
            <w:sz w:val="22"/>
            <w:szCs w:val="22"/>
            <w:u w:val="single"/>
          </w:rPr>
          <w:t xml:space="preserve">www.environment.gov.za</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ANBG (2017) Growing Native Plants: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w:t>
      </w:r>
      <w:hyperlink r:id="rId72546803a7bf6801e" w:history="1">
        <w:r>
          <w:rPr>
            <w:rFonts w:ascii="Calibri" w:hAnsi="Calibri" w:eastAsia="Calibri" w:cs="Calibri"/>
            <w:color w:val="0000CC"/>
            <w:sz w:val="22"/>
            <w:szCs w:val="22"/>
            <w:u w:val="single"/>
          </w:rPr>
          <w:t xml:space="preserve">https://www.anbg.gov.au/gnp/gnp3/hakea-sericea.html</w:t>
        </w:r>
      </w:hyperlink>
      <w:r>
        <w:rPr>
          <w:rFonts w:ascii="Calibri" w:hAnsi="Calibri" w:eastAsia="Calibri" w:cs="Calibri"/>
          <w:color w:val="000000"/>
          <w:sz w:val="22"/>
          <w:szCs w:val="22"/>
        </w:rPr>
        <w:t xml:space="preserve"> [accessed on 23 April 2017]</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WR (1996) Novelties and taxonomic notes relating to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Sect.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(Proteaceae), mainly of eastern Australia. </w:t>
      </w:r>
      <w:r>
        <w:rPr>
          <w:rFonts w:ascii="Calibri" w:hAnsi="Calibri" w:eastAsia="Calibri" w:cs="Calibri"/>
          <w:i/>
          <w:iCs/>
          <w:color w:val="000000"/>
          <w:sz w:val="22"/>
          <w:szCs w:val="22"/>
        </w:rPr>
        <w:t xml:space="preserve">Journal of the Adelaide Botanic Garden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177–209.</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RM (2010). Australian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species: identification and information. Version 1. An interactive Lucid key and information system. </w:t>
      </w:r>
      <w:hyperlink r:id="rId78766803a7bf68134" w:history="1">
        <w:r>
          <w:rPr>
            <w:rFonts w:ascii="Calibri" w:hAnsi="Calibri" w:eastAsia="Calibri" w:cs="Calibri"/>
            <w:color w:val="0000CC"/>
            <w:sz w:val="22"/>
            <w:szCs w:val="22"/>
            <w:u w:val="single"/>
          </w:rPr>
          <w:t xml:space="preserve">http://www.flora.sa.gov.au/id_tool.html</w:t>
        </w:r>
      </w:hyperlink>
      <w:r>
        <w:rPr>
          <w:rFonts w:ascii="Calibri" w:hAnsi="Calibri" w:eastAsia="Calibri" w:cs="Calibri"/>
          <w:color w:val="000000"/>
          <w:sz w:val="22"/>
          <w:szCs w:val="22"/>
        </w:rPr>
        <w:t xml:space="preserve"> [accessed on 18 April 2017]</w:t>
      </w:r>
    </w:p>
    <w:p>
      <w:pPr>
        <w:widowControl w:val="on"/>
        <w:pBdr/>
        <w:spacing w:before="220" w:after="220" w:line="240" w:lineRule="auto"/>
        <w:ind w:left="0" w:right="0"/>
        <w:jc w:val="left"/>
      </w:pPr>
      <w:r>
        <w:rPr>
          <w:rFonts w:ascii="Calibri" w:hAnsi="Calibri" w:eastAsia="Calibri" w:cs="Calibri"/>
          <w:color w:val="000000"/>
          <w:sz w:val="22"/>
          <w:szCs w:val="22"/>
        </w:rPr>
        <w:t xml:space="preserve">Beever R (1988) Gumland scrub. </w:t>
      </w:r>
      <w:r>
        <w:rPr>
          <w:rFonts w:ascii="Calibri" w:hAnsi="Calibri" w:eastAsia="Calibri" w:cs="Calibri"/>
          <w:i/>
          <w:iCs/>
          <w:color w:val="000000"/>
          <w:sz w:val="22"/>
          <w:szCs w:val="22"/>
        </w:rPr>
        <w:t xml:space="preserve">Auckland Botanical Society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12–18.</w:t>
      </w:r>
    </w:p>
    <w:p>
      <w:pPr>
        <w:widowControl w:val="on"/>
        <w:pBdr/>
        <w:spacing w:before="220" w:after="220" w:line="240" w:lineRule="auto"/>
        <w:ind w:left="0" w:right="0"/>
        <w:jc w:val="left"/>
      </w:pPr>
      <w:r>
        <w:rPr>
          <w:rFonts w:ascii="Calibri" w:hAnsi="Calibri" w:eastAsia="Calibri" w:cs="Calibri"/>
          <w:color w:val="000000"/>
          <w:sz w:val="22"/>
          <w:szCs w:val="22"/>
        </w:rPr>
        <w:t xml:space="preserve">Bond WJ &amp; van Wilgen BW (1996) </w:t>
      </w:r>
      <w:r>
        <w:rPr>
          <w:rFonts w:ascii="Calibri" w:hAnsi="Calibri" w:eastAsia="Calibri" w:cs="Calibri"/>
          <w:i/>
          <w:iCs/>
          <w:color w:val="000000"/>
          <w:sz w:val="22"/>
          <w:szCs w:val="22"/>
        </w:rPr>
        <w:t xml:space="preserve">Fire and Plants.</w:t>
      </w:r>
      <w:r>
        <w:rPr>
          <w:rFonts w:ascii="Calibri" w:hAnsi="Calibri" w:eastAsia="Calibri" w:cs="Calibri"/>
          <w:color w:val="000000"/>
          <w:sz w:val="22"/>
          <w:szCs w:val="22"/>
        </w:rPr>
        <w:t xml:space="preserve"> Chapman &amp; Hall,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Bradstock RA (1991) The role of fire in establishment of seedlings of serotinous species from the Sydney region. </w:t>
      </w:r>
      <w:r>
        <w:rPr>
          <w:rFonts w:ascii="Calibri" w:hAnsi="Calibri" w:eastAsia="Calibri" w:cs="Calibri"/>
          <w:i/>
          <w:iCs/>
          <w:color w:val="000000"/>
          <w:sz w:val="22"/>
          <w:szCs w:val="22"/>
        </w:rPr>
        <w:t xml:space="preserve">Australian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347–356.</w:t>
      </w:r>
    </w:p>
    <w:p>
      <w:pPr>
        <w:widowControl w:val="on"/>
        <w:pBdr/>
        <w:spacing w:before="220" w:after="220" w:line="240" w:lineRule="auto"/>
        <w:ind w:left="0" w:right="0"/>
        <w:jc w:val="left"/>
      </w:pPr>
      <w:r>
        <w:rPr>
          <w:rFonts w:ascii="Calibri" w:hAnsi="Calibri" w:eastAsia="Calibri" w:cs="Calibri"/>
          <w:color w:val="000000"/>
          <w:sz w:val="22"/>
          <w:szCs w:val="22"/>
        </w:rPr>
        <w:t xml:space="preserve">Bradstock RA, Gill AM, Hastings SM &amp; Moore PHR (1994) Survival of serotinous seedbanks during bushfires: comparative studies of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species from southeastern Australia. </w:t>
      </w:r>
      <w:r>
        <w:rPr>
          <w:rFonts w:ascii="Calibri" w:hAnsi="Calibri" w:eastAsia="Calibri" w:cs="Calibri"/>
          <w:i/>
          <w:iCs/>
          <w:color w:val="000000"/>
          <w:sz w:val="22"/>
          <w:szCs w:val="22"/>
        </w:rPr>
        <w:t xml:space="preserve">Australian Journal of Ecology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276–282.</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w:t>
      </w:r>
    </w:p>
    <w:p>
      <w:pPr>
        <w:widowControl w:val="on"/>
        <w:pBdr/>
        <w:spacing w:before="220" w:after="220" w:line="240" w:lineRule="auto"/>
        <w:ind w:left="0" w:right="0"/>
        <w:jc w:val="left"/>
      </w:pPr>
      <w:r>
        <w:rPr>
          <w:rFonts w:ascii="Calibri" w:hAnsi="Calibri" w:eastAsia="Calibri" w:cs="Calibri"/>
          <w:color w:val="000000"/>
          <w:sz w:val="22"/>
          <w:szCs w:val="22"/>
        </w:rPr>
        <w:t xml:space="preserve">Breytenbach GJ (1986) Impacts of alien organisms on terrestrial communities with emphasis on communities of the south-western Cape. In:</w:t>
      </w:r>
      <w:r>
        <w:rPr>
          <w:rFonts w:ascii="Calibri" w:hAnsi="Calibri" w:eastAsia="Calibri" w:cs="Calibri"/>
          <w:i/>
          <w:iCs/>
          <w:color w:val="000000"/>
          <w:sz w:val="22"/>
          <w:szCs w:val="22"/>
        </w:rPr>
        <w:t xml:space="preserve"> The Ecology and Management of Biological Invasions in Southern Africa</w:t>
      </w:r>
      <w:r>
        <w:rPr>
          <w:rFonts w:ascii="Calibri" w:hAnsi="Calibri" w:eastAsia="Calibri" w:cs="Calibri"/>
          <w:color w:val="000000"/>
          <w:sz w:val="22"/>
          <w:szCs w:val="22"/>
        </w:rPr>
        <w:t xml:space="preserve"> (eds Macdonald IAW, Kruger FJ &amp; Ferrar AA), pp. 229–238. Oxford University Press, Cape Town (ZA).</w:t>
      </w:r>
    </w:p>
    <w:p>
      <w:pPr>
        <w:widowControl w:val="on"/>
        <w:pBdr/>
        <w:spacing w:before="220" w:after="220" w:line="240" w:lineRule="auto"/>
        <w:ind w:left="0" w:right="0"/>
        <w:jc w:val="left"/>
      </w:pPr>
      <w:r>
        <w:rPr>
          <w:rFonts w:ascii="Calibri" w:hAnsi="Calibri" w:eastAsia="Calibri" w:cs="Calibri"/>
          <w:color w:val="000000"/>
          <w:sz w:val="22"/>
          <w:szCs w:val="22"/>
        </w:rPr>
        <w:t xml:space="preserve">Breytenbach GJ (1989) Alien control: can we afford to slash and burn hakea in fynbos ecosystems? </w:t>
      </w:r>
      <w:r>
        <w:rPr>
          <w:rFonts w:ascii="Calibri" w:hAnsi="Calibri" w:eastAsia="Calibri" w:cs="Calibri"/>
          <w:i/>
          <w:iCs/>
          <w:color w:val="000000"/>
          <w:sz w:val="22"/>
          <w:szCs w:val="22"/>
        </w:rPr>
        <w:t xml:space="preserve">South African Forestry Journal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6–16.</w:t>
      </w:r>
    </w:p>
    <w:p>
      <w:pPr>
        <w:widowControl w:val="on"/>
        <w:pBdr/>
        <w:spacing w:before="220" w:after="220" w:line="240" w:lineRule="auto"/>
        <w:ind w:left="0" w:right="0"/>
        <w:jc w:val="left"/>
      </w:pPr>
      <w:r>
        <w:rPr>
          <w:rFonts w:ascii="Calibri" w:hAnsi="Calibri" w:eastAsia="Calibri" w:cs="Calibri"/>
          <w:color w:val="000000"/>
          <w:sz w:val="22"/>
          <w:szCs w:val="22"/>
        </w:rPr>
        <w:t xml:space="preserve">Brown CL &amp; Whelan RJ (1999) Seasonal occurrence of fire and availability of germinable seeds in </w:t>
      </w:r>
      <w:r>
        <w:rPr>
          <w:rFonts w:ascii="Calibri" w:hAnsi="Calibri" w:eastAsia="Calibri" w:cs="Calibri"/>
          <w:i/>
          <w:iCs/>
          <w:color w:val="000000"/>
          <w:sz w:val="22"/>
          <w:szCs w:val="22"/>
        </w:rPr>
        <w:t xml:space="preserve">Hakea sericea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Petrophile sessilis. Journal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932–941.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(2017). </w:t>
      </w:r>
      <w:r>
        <w:rPr>
          <w:rFonts w:ascii="Calibri" w:hAnsi="Calibri" w:eastAsia="Calibri" w:cs="Calibri"/>
          <w:i/>
          <w:iCs/>
          <w:color w:val="000000"/>
          <w:sz w:val="22"/>
          <w:szCs w:val="22"/>
        </w:rPr>
        <w:t xml:space="preserve">Hakea sericea </w:t>
      </w:r>
      <w:r>
        <w:rPr>
          <w:rFonts w:ascii="Calibri" w:hAnsi="Calibri" w:eastAsia="Calibri" w:cs="Calibri"/>
          <w:color w:val="000000"/>
          <w:sz w:val="22"/>
          <w:szCs w:val="22"/>
        </w:rPr>
        <w:t xml:space="preserve">(silky hakea). </w:t>
      </w:r>
      <w:hyperlink r:id="rId52296803a7bf684bc" w:history="1">
        <w:r>
          <w:rPr>
            <w:rFonts w:ascii="Calibri" w:hAnsi="Calibri" w:eastAsia="Calibri" w:cs="Calibri"/>
            <w:color w:val="0000CC"/>
            <w:sz w:val="22"/>
            <w:szCs w:val="22"/>
            <w:u w:val="single"/>
          </w:rPr>
          <w:t xml:space="preserve">http://www.cabi.org/isc/datasheet/27302</w:t>
        </w:r>
      </w:hyperlink>
      <w:r>
        <w:rPr>
          <w:rFonts w:ascii="Calibri" w:hAnsi="Calibri" w:eastAsia="Calibri" w:cs="Calibri"/>
          <w:color w:val="000000"/>
          <w:sz w:val="22"/>
          <w:szCs w:val="22"/>
        </w:rPr>
        <w:t xml:space="preserve"> [accessed on 1 April 2017]</w:t>
      </w:r>
    </w:p>
    <w:p>
      <w:pPr>
        <w:widowControl w:val="on"/>
        <w:pBdr/>
        <w:spacing w:before="220" w:after="220" w:line="240" w:lineRule="auto"/>
        <w:ind w:left="0" w:right="0"/>
        <w:jc w:val="left"/>
      </w:pPr>
      <w:r>
        <w:rPr>
          <w:rFonts w:ascii="Calibri" w:hAnsi="Calibri" w:eastAsia="Calibri" w:cs="Calibri"/>
          <w:color w:val="000000"/>
          <w:sz w:val="22"/>
          <w:szCs w:val="22"/>
        </w:rPr>
        <w:t xml:space="preserve">Cowling RM, Lamont BB &amp; Pierce SM (1987) Seed bank dynamics of four co-occurring Banksia species.</w:t>
      </w:r>
      <w:r>
        <w:rPr>
          <w:rFonts w:ascii="Calibri" w:hAnsi="Calibri" w:eastAsia="Calibri" w:cs="Calibri"/>
          <w:i/>
          <w:iCs/>
          <w:color w:val="000000"/>
          <w:sz w:val="22"/>
          <w:szCs w:val="22"/>
        </w:rPr>
        <w:t xml:space="preserve"> Journal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289–302.</w:t>
      </w:r>
    </w:p>
    <w:p>
      <w:pPr>
        <w:widowControl w:val="on"/>
        <w:pBdr/>
        <w:spacing w:before="220" w:after="220" w:line="240" w:lineRule="auto"/>
        <w:ind w:left="0" w:right="0"/>
        <w:jc w:val="left"/>
      </w:pPr>
      <w:r>
        <w:rPr>
          <w:rFonts w:ascii="Calibri" w:hAnsi="Calibri" w:eastAsia="Calibri" w:cs="Calibri"/>
          <w:color w:val="000000"/>
          <w:sz w:val="22"/>
          <w:szCs w:val="22"/>
        </w:rPr>
        <w:t xml:space="preserve">Dufour-Dror J-M (ed.) (2013) Israel’s Least Wanted Alien Ornamental Plant Species – First Edition, July 2013. </w:t>
      </w:r>
      <w:hyperlink r:id="rId53096803a7bf6855b" w:history="1">
        <w:r>
          <w:rPr>
            <w:rFonts w:ascii="Calibri" w:hAnsi="Calibri" w:eastAsia="Calibri" w:cs="Calibri"/>
            <w:color w:val="0000CC"/>
            <w:sz w:val="22"/>
            <w:szCs w:val="22"/>
            <w:u w:val="single"/>
          </w:rPr>
          <w:t xml:space="preserve">http://www.sviva.gov.il/English/env_topics/biodiversity/Documents/InvasiveSpecies-July2013.pdf </w:t>
        </w:r>
      </w:hyperlink>
      <w:r>
        <w:rPr>
          <w:rFonts w:ascii="Calibri" w:hAnsi="Calibri" w:eastAsia="Calibri" w:cs="Calibri"/>
          <w:color w:val="000000"/>
          <w:sz w:val="22"/>
          <w:szCs w:val="22"/>
        </w:rPr>
        <w:t xml:space="preserve">[accessed on 16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PQR - EPPO database on quarantine pests (available online). http://www.eppo.int [accessed on 10 April 2017]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w:t>
      </w:r>
      <w:r>
        <w:rPr>
          <w:rFonts w:ascii="Calibri" w:hAnsi="Calibri" w:eastAsia="Calibri" w:cs="Calibri"/>
          <w:i/>
          <w:iCs/>
          <w:color w:val="000000"/>
          <w:sz w:val="22"/>
          <w:szCs w:val="22"/>
        </w:rPr>
        <w:t xml:space="preserve"> Hakea sericea</w:t>
      </w:r>
      <w:r>
        <w:rPr>
          <w:rFonts w:ascii="Calibri" w:hAnsi="Calibri" w:eastAsia="Calibri" w:cs="Calibri"/>
          <w:color w:val="000000"/>
          <w:sz w:val="22"/>
          <w:szCs w:val="22"/>
        </w:rPr>
        <w:t xml:space="preserve">. EPPO, Paris. Available at: </w:t>
      </w:r>
      <w:hyperlink r:id="rId61676803a7bf685db" w:history="1">
        <w:r>
          <w:rPr>
            <w:rFonts w:ascii="Calibri" w:hAnsi="Calibri" w:eastAsia="Calibri" w:cs="Calibri"/>
            <w:color w:val="0000CC"/>
            <w:sz w:val="22"/>
            <w:szCs w:val="22"/>
            <w:u w:val="single"/>
          </w:rPr>
          <w:t xml:space="preserve">https://pra.eppo.int/</w:t>
        </w:r>
      </w:hyperlink>
      <w:r>
        <w:rPr>
          <w:rFonts w:ascii="Calibri" w:hAnsi="Calibri" w:eastAsia="Calibri" w:cs="Calibri"/>
          <w:color w:val="000000"/>
          <w:sz w:val="22"/>
          <w:szCs w:val="22"/>
        </w:rPr>
        <w:t xml:space="preserve"> [accessed 9th November, 2018]</w:t>
      </w:r>
    </w:p>
    <w:p>
      <w:pPr>
        <w:widowControl w:val="on"/>
        <w:pBdr/>
        <w:spacing w:before="220" w:after="220" w:line="240" w:lineRule="auto"/>
        <w:ind w:left="0" w:right="0"/>
        <w:jc w:val="left"/>
      </w:pPr>
      <w:r>
        <w:rPr>
          <w:rFonts w:ascii="Calibri" w:hAnsi="Calibri" w:eastAsia="Calibri" w:cs="Calibri"/>
          <w:color w:val="000000"/>
          <w:sz w:val="22"/>
          <w:szCs w:val="22"/>
        </w:rPr>
        <w:t xml:space="preserve">Esler KJ, van Wilgen BW, Te Roller KS, Wood AR &amp; van der Merwe JH (2010) A landscape-scale assessment of the long-term integrated control of an invasive shrub in South Africa.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211.</w:t>
      </w:r>
    </w:p>
    <w:p>
      <w:pPr>
        <w:widowControl w:val="on"/>
        <w:pBdr/>
        <w:spacing w:before="220" w:after="220" w:line="240" w:lineRule="auto"/>
        <w:ind w:left="0" w:right="0"/>
        <w:jc w:val="left"/>
      </w:pPr>
      <w:r>
        <w:rPr>
          <w:rFonts w:ascii="Calibri" w:hAnsi="Calibri" w:eastAsia="Calibri" w:cs="Calibri"/>
          <w:color w:val="000000"/>
          <w:sz w:val="22"/>
          <w:szCs w:val="22"/>
        </w:rPr>
        <w:t xml:space="preserve">Espírito Santo MD &amp; Arsénio P (1999) O género </w:t>
      </w:r>
      <w:r>
        <w:rPr>
          <w:rFonts w:ascii="Calibri" w:hAnsi="Calibri" w:eastAsia="Calibri" w:cs="Calibri"/>
          <w:i/>
          <w:iCs/>
          <w:color w:val="000000"/>
          <w:sz w:val="22"/>
          <w:szCs w:val="22"/>
        </w:rPr>
        <w:t xml:space="preserve">Hakea</w:t>
      </w:r>
      <w:r>
        <w:rPr>
          <w:rFonts w:ascii="Calibri" w:hAnsi="Calibri" w:eastAsia="Calibri" w:cs="Calibri"/>
          <w:color w:val="000000"/>
          <w:sz w:val="22"/>
          <w:szCs w:val="22"/>
        </w:rPr>
        <w:t xml:space="preserve"> Schrad. em Portugal. 1o Encontro sobre Invasoras Lenhosas. SPCF/ADERE, Gerês, pp. 58–65.</w:t>
      </w:r>
    </w:p>
    <w:p>
      <w:pPr>
        <w:widowControl w:val="on"/>
        <w:pBdr/>
        <w:spacing w:before="220" w:after="220" w:line="240" w:lineRule="auto"/>
        <w:ind w:left="0" w:right="0"/>
        <w:jc w:val="left"/>
      </w:pPr>
      <w:r>
        <w:rPr>
          <w:rFonts w:ascii="Calibri" w:hAnsi="Calibri" w:eastAsia="Calibri" w:cs="Calibri"/>
          <w:color w:val="000000"/>
          <w:sz w:val="22"/>
          <w:szCs w:val="22"/>
        </w:rPr>
        <w:t xml:space="preserve">Fourie A, Gordon AJ &amp; Krug RM (2012) Invasive Hakeas Biological Control Implementations. </w:t>
      </w:r>
      <w:hyperlink r:id="rId37836803a7bf686c3" w:history="1">
        <w:r>
          <w:rPr>
            <w:rFonts w:ascii="Calibri" w:hAnsi="Calibri" w:eastAsia="Calibri" w:cs="Calibri"/>
            <w:color w:val="0000CC"/>
            <w:sz w:val="22"/>
            <w:szCs w:val="22"/>
            <w:u w:val="single"/>
          </w:rPr>
          <w:t xml:space="preserve">http://thekrugs.free.fr/HakeaHandbook</w:t>
        </w:r>
      </w:hyperlink>
      <w:r>
        <w:rPr>
          <w:rFonts w:ascii="Calibri" w:hAnsi="Calibri" w:eastAsia="Calibri" w:cs="Calibri"/>
          <w:color w:val="000000"/>
          <w:sz w:val="22"/>
          <w:szCs w:val="22"/>
        </w:rPr>
        <w:t xml:space="preserve"> [accessed on 19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Fried G (2010) Prioritization of Potential Invasive Alien Plants in France. In: Proceedings of the International Workshop “Invasive Plants in Mediterranean Type Regions of the World”, pp. 2–6).</w:t>
      </w:r>
    </w:p>
    <w:p>
      <w:pPr>
        <w:widowControl w:val="on"/>
        <w:pBdr/>
        <w:spacing w:before="220" w:after="220" w:line="240" w:lineRule="auto"/>
        <w:ind w:left="0" w:right="0"/>
        <w:jc w:val="left"/>
      </w:pPr>
      <w:r>
        <w:rPr>
          <w:rFonts w:ascii="Calibri" w:hAnsi="Calibri" w:eastAsia="Calibri" w:cs="Calibri"/>
          <w:color w:val="000000"/>
          <w:sz w:val="22"/>
          <w:szCs w:val="22"/>
        </w:rPr>
        <w:t xml:space="preserve">Fugler SR (1982) Infestations of three Australian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species in South Africa and their control.</w:t>
      </w:r>
      <w:r>
        <w:rPr>
          <w:rFonts w:ascii="Calibri" w:hAnsi="Calibri" w:eastAsia="Calibri" w:cs="Calibri"/>
          <w:i/>
          <w:iCs/>
          <w:color w:val="000000"/>
          <w:sz w:val="22"/>
          <w:szCs w:val="22"/>
        </w:rPr>
        <w:t xml:space="preserve"> South African Forestry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63–68.</w:t>
      </w:r>
    </w:p>
    <w:p>
      <w:pPr>
        <w:widowControl w:val="on"/>
        <w:pBdr/>
        <w:spacing w:before="220" w:after="220" w:line="240" w:lineRule="auto"/>
        <w:ind w:left="0" w:right="0"/>
        <w:jc w:val="left"/>
      </w:pPr>
      <w:r>
        <w:rPr>
          <w:rFonts w:ascii="Calibri" w:hAnsi="Calibri" w:eastAsia="Calibri" w:cs="Calibri"/>
          <w:color w:val="000000"/>
          <w:sz w:val="22"/>
          <w:szCs w:val="22"/>
        </w:rPr>
        <w:t xml:space="preserve">Goldblatt P (1997) Floristic diversity in the Cape flora of South Africa. </w:t>
      </w:r>
      <w:r>
        <w:rPr>
          <w:rFonts w:ascii="Calibri" w:hAnsi="Calibri" w:eastAsia="Calibri" w:cs="Calibri"/>
          <w:i/>
          <w:iCs/>
          <w:color w:val="000000"/>
          <w:sz w:val="22"/>
          <w:szCs w:val="22"/>
        </w:rPr>
        <w:t xml:space="preserve">Biodiversity and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359–377.</w:t>
      </w:r>
    </w:p>
    <w:p>
      <w:pPr>
        <w:widowControl w:val="on"/>
        <w:pBdr/>
        <w:spacing w:before="220" w:after="220" w:line="240" w:lineRule="auto"/>
        <w:ind w:left="0" w:right="0"/>
        <w:jc w:val="left"/>
      </w:pPr>
      <w:r>
        <w:rPr>
          <w:rFonts w:ascii="Calibri" w:hAnsi="Calibri" w:eastAsia="Calibri" w:cs="Calibri"/>
          <w:color w:val="000000"/>
          <w:sz w:val="22"/>
          <w:szCs w:val="22"/>
        </w:rPr>
        <w:t xml:space="preserve">Gordon AJ (1993) The impact of the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seed-moth </w:t>
      </w:r>
      <w:r>
        <w:rPr>
          <w:rFonts w:ascii="Calibri" w:hAnsi="Calibri" w:eastAsia="Calibri" w:cs="Calibri"/>
          <w:i/>
          <w:iCs/>
          <w:color w:val="000000"/>
          <w:sz w:val="22"/>
          <w:szCs w:val="22"/>
        </w:rPr>
        <w:t xml:space="preserve">Carposina autologa</w:t>
      </w:r>
      <w:r>
        <w:rPr>
          <w:rFonts w:ascii="Calibri" w:hAnsi="Calibri" w:eastAsia="Calibri" w:cs="Calibri"/>
          <w:color w:val="000000"/>
          <w:sz w:val="22"/>
          <w:szCs w:val="22"/>
        </w:rPr>
        <w:t xml:space="preserve"> (Carposinidae) on the canopy-stored seeds of the weed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(Proteaceae). </w:t>
      </w:r>
      <w:r>
        <w:rPr>
          <w:rFonts w:ascii="Calibri" w:hAnsi="Calibri" w:eastAsia="Calibri" w:cs="Calibri"/>
          <w:i/>
          <w:iCs/>
          <w:color w:val="000000"/>
          <w:sz w:val="22"/>
          <w:szCs w:val="22"/>
        </w:rPr>
        <w:t xml:space="preserve">Agriculture, Ecosystems &amp; Environment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105–113.</w:t>
      </w:r>
    </w:p>
    <w:p>
      <w:pPr>
        <w:widowControl w:val="on"/>
        <w:pBdr/>
        <w:spacing w:before="220" w:after="220" w:line="240" w:lineRule="auto"/>
        <w:ind w:left="0" w:right="0"/>
        <w:jc w:val="left"/>
      </w:pPr>
      <w:r>
        <w:rPr>
          <w:rFonts w:ascii="Calibri" w:hAnsi="Calibri" w:eastAsia="Calibri" w:cs="Calibri"/>
          <w:color w:val="000000"/>
          <w:sz w:val="22"/>
          <w:szCs w:val="22"/>
        </w:rPr>
        <w:t xml:space="preserve">Gordon AJ (1999) A review of established and new insect agents for the biological control of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Schrader (Proteaceae) in South Africa. </w:t>
      </w:r>
      <w:r>
        <w:rPr>
          <w:rFonts w:ascii="Calibri" w:hAnsi="Calibri" w:eastAsia="Calibri" w:cs="Calibri"/>
          <w:i/>
          <w:iCs/>
          <w:color w:val="000000"/>
          <w:sz w:val="22"/>
          <w:szCs w:val="22"/>
        </w:rPr>
        <w:t xml:space="preserve">African Entomology Memoir</w:t>
      </w:r>
      <w:r>
        <w:rPr>
          <w:rFonts w:ascii="Calibri" w:hAnsi="Calibri" w:eastAsia="Calibri" w:cs="Calibri"/>
          <w:color w:val="000000"/>
          <w:sz w:val="22"/>
          <w:szCs w:val="22"/>
        </w:rPr>
        <w:t xml:space="preserve"> No. 1, 35–43.</w:t>
      </w:r>
    </w:p>
    <w:p>
      <w:pPr>
        <w:widowControl w:val="on"/>
        <w:pBdr/>
        <w:spacing w:before="220" w:after="220" w:line="240" w:lineRule="auto"/>
        <w:ind w:left="0" w:right="0"/>
        <w:jc w:val="left"/>
      </w:pPr>
      <w:r>
        <w:rPr>
          <w:rFonts w:ascii="Calibri" w:hAnsi="Calibri" w:eastAsia="Calibri" w:cs="Calibri"/>
          <w:color w:val="000000"/>
          <w:sz w:val="22"/>
          <w:szCs w:val="22"/>
        </w:rPr>
        <w:t xml:space="preserve">Gordon AJ &amp; Lyons CL (2017) Current status of </w:t>
      </w:r>
      <w:r>
        <w:rPr>
          <w:rFonts w:ascii="Calibri" w:hAnsi="Calibri" w:eastAsia="Calibri" w:cs="Calibri"/>
          <w:i/>
          <w:iCs/>
          <w:color w:val="000000"/>
          <w:sz w:val="22"/>
          <w:szCs w:val="22"/>
        </w:rPr>
        <w:t xml:space="preserve">Carposina autologa</w:t>
      </w:r>
      <w:r>
        <w:rPr>
          <w:rFonts w:ascii="Calibri" w:hAnsi="Calibri" w:eastAsia="Calibri" w:cs="Calibri"/>
          <w:color w:val="000000"/>
          <w:sz w:val="22"/>
          <w:szCs w:val="22"/>
        </w:rPr>
        <w:t xml:space="preserve"> (Lepidoptera: Carposinidae), a biological control agent of silky hakea,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(Proteaceae) and rock hakea, </w:t>
      </w:r>
      <w:r>
        <w:rPr>
          <w:rFonts w:ascii="Calibri" w:hAnsi="Calibri" w:eastAsia="Calibri" w:cs="Calibri"/>
          <w:i/>
          <w:iCs/>
          <w:color w:val="000000"/>
          <w:sz w:val="22"/>
          <w:szCs w:val="22"/>
        </w:rPr>
        <w:t xml:space="preserve">Hakea gibbosa</w:t>
      </w:r>
      <w:r>
        <w:rPr>
          <w:rFonts w:ascii="Calibri" w:hAnsi="Calibri" w:eastAsia="Calibri" w:cs="Calibri"/>
          <w:color w:val="000000"/>
          <w:sz w:val="22"/>
          <w:szCs w:val="22"/>
        </w:rPr>
        <w:t xml:space="preserve"> (Proteaceae) in the Western Cape, South Africa. </w:t>
      </w:r>
      <w:r>
        <w:rPr>
          <w:rFonts w:ascii="Calibri" w:hAnsi="Calibri" w:eastAsia="Calibri" w:cs="Calibri"/>
          <w:i/>
          <w:iCs/>
          <w:color w:val="000000"/>
          <w:sz w:val="22"/>
          <w:szCs w:val="22"/>
        </w:rPr>
        <w:t xml:space="preserve">African Entomology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250–253.</w:t>
      </w:r>
    </w:p>
    <w:p>
      <w:pPr>
        <w:widowControl w:val="on"/>
        <w:pBdr/>
        <w:spacing w:before="220" w:after="220" w:line="240" w:lineRule="auto"/>
        <w:ind w:left="0" w:right="0"/>
        <w:jc w:val="left"/>
      </w:pPr>
      <w:r>
        <w:rPr>
          <w:rFonts w:ascii="Calibri" w:hAnsi="Calibri" w:eastAsia="Calibri" w:cs="Calibri"/>
          <w:color w:val="000000"/>
          <w:sz w:val="22"/>
          <w:szCs w:val="22"/>
        </w:rPr>
        <w:t xml:space="preserve">Government of the Republic of South Africa (2014) Government Gazette. 12 February 2014. No. 37320, pp. 3-96.</w:t>
      </w:r>
    </w:p>
    <w:p>
      <w:pPr>
        <w:widowControl w:val="on"/>
        <w:pBdr/>
        <w:spacing w:before="220" w:after="220" w:line="240" w:lineRule="auto"/>
        <w:ind w:left="0" w:right="0"/>
        <w:jc w:val="left"/>
      </w:pPr>
      <w:r>
        <w:rPr>
          <w:rFonts w:ascii="Calibri" w:hAnsi="Calibri" w:eastAsia="Calibri" w:cs="Calibri"/>
          <w:color w:val="000000"/>
          <w:sz w:val="22"/>
          <w:szCs w:val="22"/>
        </w:rPr>
        <w:t xml:space="preserve">Henderson L (2001) </w:t>
      </w:r>
      <w:r>
        <w:rPr>
          <w:rFonts w:ascii="Calibri" w:hAnsi="Calibri" w:eastAsia="Calibri" w:cs="Calibri"/>
          <w:i/>
          <w:iCs/>
          <w:color w:val="000000"/>
          <w:sz w:val="22"/>
          <w:szCs w:val="22"/>
        </w:rPr>
        <w:t xml:space="preserve">Alien Weeds and Invasive Plants: A Complete Guide to Declared Weeds and Invaders in South Africa</w:t>
      </w:r>
      <w:r>
        <w:rPr>
          <w:rFonts w:ascii="Calibri" w:hAnsi="Calibri" w:eastAsia="Calibri" w:cs="Calibri"/>
          <w:color w:val="000000"/>
          <w:sz w:val="22"/>
          <w:szCs w:val="22"/>
        </w:rPr>
        <w:t xml:space="preserve">, pp. 300. Agricultural Research Council, Pretoria (ZA).</w:t>
      </w:r>
    </w:p>
    <w:p>
      <w:pPr>
        <w:widowControl w:val="on"/>
        <w:pBdr/>
        <w:spacing w:before="220" w:after="220" w:line="240" w:lineRule="auto"/>
        <w:ind w:left="0" w:right="0"/>
        <w:jc w:val="left"/>
      </w:pPr>
      <w:r>
        <w:rPr>
          <w:rFonts w:ascii="Calibri" w:hAnsi="Calibri" w:eastAsia="Calibri" w:cs="Calibri"/>
          <w:color w:val="000000"/>
          <w:sz w:val="22"/>
          <w:szCs w:val="22"/>
        </w:rPr>
        <w:t xml:space="preserve">Holmes PM, Richardson DM, van Wilgen BW &amp; Gelderblom C (2000) Recovery of South African fynbos vegetation following alien woody plant clearing and fire: implications for restoration. </w:t>
      </w:r>
      <w:r>
        <w:rPr>
          <w:rFonts w:ascii="Calibri" w:hAnsi="Calibri" w:eastAsia="Calibri" w:cs="Calibri"/>
          <w:i/>
          <w:iCs/>
          <w:color w:val="000000"/>
          <w:sz w:val="22"/>
          <w:szCs w:val="22"/>
        </w:rPr>
        <w:t xml:space="preserve">Austral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631–639.</w:t>
      </w:r>
    </w:p>
    <w:p>
      <w:pPr>
        <w:widowControl w:val="on"/>
        <w:pBdr/>
        <w:spacing w:before="220" w:after="220" w:line="240" w:lineRule="auto"/>
        <w:ind w:left="0" w:right="0"/>
        <w:jc w:val="left"/>
      </w:pPr>
      <w:r>
        <w:rPr>
          <w:rFonts w:ascii="Calibri" w:hAnsi="Calibri" w:eastAsia="Calibri" w:cs="Calibri"/>
          <w:color w:val="000000"/>
          <w:sz w:val="22"/>
          <w:szCs w:val="22"/>
        </w:rPr>
        <w:t xml:space="preserve">Howell CJ (2008) </w:t>
      </w:r>
      <w:r>
        <w:rPr>
          <w:rFonts w:ascii="Calibri" w:hAnsi="Calibri" w:eastAsia="Calibri" w:cs="Calibri"/>
          <w:i/>
          <w:iCs/>
          <w:color w:val="000000"/>
          <w:sz w:val="22"/>
          <w:szCs w:val="22"/>
        </w:rPr>
        <w:t xml:space="preserve">Consolidated List of Environmental Weeds in New Zealand</w:t>
      </w:r>
      <w:r>
        <w:rPr>
          <w:rFonts w:ascii="Calibri" w:hAnsi="Calibri" w:eastAsia="Calibri" w:cs="Calibri"/>
          <w:color w:val="000000"/>
          <w:sz w:val="22"/>
          <w:szCs w:val="22"/>
        </w:rPr>
        <w:t xml:space="preserve">. Science &amp; Technical Pub., Department of Conservation, Wellington, New Zealand.</w:t>
      </w:r>
    </w:p>
    <w:p>
      <w:pPr>
        <w:widowControl w:val="on"/>
        <w:pBdr/>
        <w:spacing w:before="220" w:after="220" w:line="240" w:lineRule="auto"/>
        <w:ind w:left="0" w:right="0"/>
        <w:jc w:val="left"/>
      </w:pPr>
      <w:r>
        <w:rPr>
          <w:rFonts w:ascii="Calibri" w:hAnsi="Calibri" w:eastAsia="Calibri" w:cs="Calibri"/>
          <w:color w:val="000000"/>
          <w:sz w:val="22"/>
          <w:szCs w:val="22"/>
        </w:rPr>
        <w:t xml:space="preserve">Huryn VMB &amp; Moller H (1995) An assessment of the contribution of honey bees (</w:t>
      </w:r>
      <w:r>
        <w:rPr>
          <w:rFonts w:ascii="Calibri" w:hAnsi="Calibri" w:eastAsia="Calibri" w:cs="Calibri"/>
          <w:i/>
          <w:iCs/>
          <w:color w:val="000000"/>
          <w:sz w:val="22"/>
          <w:szCs w:val="22"/>
        </w:rPr>
        <w:t xml:space="preserve">Apis mellifera</w:t>
      </w:r>
      <w:r>
        <w:rPr>
          <w:rFonts w:ascii="Calibri" w:hAnsi="Calibri" w:eastAsia="Calibri" w:cs="Calibri"/>
          <w:color w:val="000000"/>
          <w:sz w:val="22"/>
          <w:szCs w:val="22"/>
        </w:rPr>
        <w:t xml:space="preserve">) to weed reproduction in New Zealand protected natural areas. </w:t>
      </w:r>
      <w:r>
        <w:rPr>
          <w:rFonts w:ascii="Calibri" w:hAnsi="Calibri" w:eastAsia="Calibri" w:cs="Calibri"/>
          <w:i/>
          <w:iCs/>
          <w:color w:val="000000"/>
          <w:sz w:val="22"/>
          <w:szCs w:val="22"/>
        </w:rPr>
        <w:t xml:space="preserve">New Zealand Journal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111–122.</w:t>
      </w:r>
    </w:p>
    <w:p>
      <w:pPr>
        <w:widowControl w:val="on"/>
        <w:pBdr/>
        <w:spacing w:before="220" w:after="220" w:line="240" w:lineRule="auto"/>
        <w:ind w:left="0" w:right="0"/>
        <w:jc w:val="left"/>
      </w:pPr>
      <w:r>
        <w:rPr>
          <w:rFonts w:ascii="Calibri" w:hAnsi="Calibri" w:eastAsia="Calibri" w:cs="Calibri"/>
          <w:color w:val="000000"/>
          <w:sz w:val="22"/>
          <w:szCs w:val="22"/>
        </w:rPr>
        <w:t xml:space="preserve">Instituto de Investigação Científica Tropical (2008-2017a)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1932. </w:t>
      </w:r>
      <w:hyperlink r:id="rId89696803a7bf68b73" w:history="1">
        <w:r>
          <w:rPr>
            <w:rFonts w:ascii="Calibri" w:hAnsi="Calibri" w:eastAsia="Calibri" w:cs="Calibri"/>
            <w:color w:val="0000CC"/>
            <w:sz w:val="22"/>
            <w:szCs w:val="22"/>
            <w:u w:val="single"/>
          </w:rPr>
          <w:t xml:space="preserve">http://actd.iict.pt/view/actd:LISC049867</w:t>
        </w:r>
      </w:hyperlink>
      <w:r>
        <w:rPr>
          <w:rFonts w:ascii="Calibri" w:hAnsi="Calibri" w:eastAsia="Calibri" w:cs="Calibri"/>
          <w:color w:val="000000"/>
          <w:sz w:val="22"/>
          <w:szCs w:val="22"/>
        </w:rPr>
        <w:t xml:space="preserve"> [accessed on 10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Instituto de Investigação Científica Tropical (2008-2017b)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1964. </w:t>
      </w:r>
      <w:hyperlink r:id="rId13066803a7bf68bd3" w:history="1">
        <w:r>
          <w:rPr>
            <w:rFonts w:ascii="Calibri" w:hAnsi="Calibri" w:eastAsia="Calibri" w:cs="Calibri"/>
            <w:color w:val="0000CC"/>
            <w:sz w:val="22"/>
            <w:szCs w:val="22"/>
            <w:u w:val="single"/>
          </w:rPr>
          <w:t xml:space="preserve">http://actd.iict.pt/view/actd:LISC049868</w:t>
        </w:r>
      </w:hyperlink>
      <w:r>
        <w:rPr>
          <w:rFonts w:ascii="Calibri" w:hAnsi="Calibri" w:eastAsia="Calibri" w:cs="Calibri"/>
          <w:color w:val="000000"/>
          <w:sz w:val="22"/>
          <w:szCs w:val="22"/>
        </w:rPr>
        <w:t xml:space="preserve"> [accessed on 10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Kluge RL &amp; Neser S (1991) Biological control of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(Proteaceae) in South Africa. </w:t>
      </w:r>
      <w:r>
        <w:rPr>
          <w:rFonts w:ascii="Calibri" w:hAnsi="Calibri" w:eastAsia="Calibri" w:cs="Calibri"/>
          <w:i/>
          <w:iCs/>
          <w:color w:val="000000"/>
          <w:sz w:val="22"/>
          <w:szCs w:val="22"/>
        </w:rPr>
        <w:t xml:space="preserve">Agriculture, Ecosystems &amp;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91–113.</w:t>
      </w:r>
    </w:p>
    <w:p>
      <w:pPr>
        <w:widowControl w:val="on"/>
        <w:pBdr/>
        <w:spacing w:before="220" w:after="220" w:line="240" w:lineRule="auto"/>
        <w:ind w:left="0" w:right="0"/>
        <w:jc w:val="left"/>
      </w:pPr>
      <w:r>
        <w:rPr>
          <w:rFonts w:ascii="Calibri" w:hAnsi="Calibri" w:eastAsia="Calibri" w:cs="Calibri"/>
          <w:color w:val="000000"/>
          <w:sz w:val="22"/>
          <w:szCs w:val="22"/>
        </w:rPr>
        <w:t xml:space="preserve">Kottek M, Grieser J, Beck C, Rudolf B &amp; Rubel F (2006) World Map of Köppen-Geiger Climate Classification updated. </w:t>
      </w:r>
      <w:r>
        <w:rPr>
          <w:rFonts w:ascii="Calibri" w:hAnsi="Calibri" w:eastAsia="Calibri" w:cs="Calibri"/>
          <w:i/>
          <w:iCs/>
          <w:color w:val="000000"/>
          <w:sz w:val="22"/>
          <w:szCs w:val="22"/>
        </w:rPr>
        <w:t xml:space="preserve">Meteorologische Zeitschrift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259–263.</w:t>
      </w:r>
    </w:p>
    <w:p>
      <w:pPr>
        <w:widowControl w:val="on"/>
        <w:pBdr/>
        <w:spacing w:before="220" w:after="220" w:line="240" w:lineRule="auto"/>
        <w:ind w:left="0" w:right="0"/>
        <w:jc w:val="left"/>
      </w:pPr>
      <w:r>
        <w:rPr>
          <w:rFonts w:ascii="Calibri" w:hAnsi="Calibri" w:eastAsia="Calibri" w:cs="Calibri"/>
          <w:color w:val="000000"/>
          <w:sz w:val="22"/>
          <w:szCs w:val="22"/>
        </w:rPr>
        <w:t xml:space="preserve">Kruger FJ &amp; Bigalke RC (1984) Fire in fynbos. In: </w:t>
      </w:r>
      <w:r>
        <w:rPr>
          <w:rFonts w:ascii="Calibri" w:hAnsi="Calibri" w:eastAsia="Calibri" w:cs="Calibri"/>
          <w:i/>
          <w:iCs/>
          <w:color w:val="000000"/>
          <w:sz w:val="22"/>
          <w:szCs w:val="22"/>
        </w:rPr>
        <w:t xml:space="preserve">Ecological Effects of Fire in South African Ecosystems</w:t>
      </w:r>
      <w:r>
        <w:rPr>
          <w:rFonts w:ascii="Calibri" w:hAnsi="Calibri" w:eastAsia="Calibri" w:cs="Calibri"/>
          <w:color w:val="000000"/>
          <w:sz w:val="22"/>
          <w:szCs w:val="22"/>
        </w:rPr>
        <w:t xml:space="preserve"> (eds Booysen PV &amp; Tainton NM), pp. 67–114. Springer, Berlin (DE).</w:t>
      </w:r>
    </w:p>
    <w:p>
      <w:pPr>
        <w:widowControl w:val="on"/>
        <w:pBdr/>
        <w:spacing w:before="220" w:after="220" w:line="240" w:lineRule="auto"/>
        <w:ind w:left="0" w:right="0"/>
        <w:jc w:val="left"/>
      </w:pPr>
      <w:r>
        <w:rPr>
          <w:rFonts w:ascii="Calibri" w:hAnsi="Calibri" w:eastAsia="Calibri" w:cs="Calibri"/>
          <w:color w:val="000000"/>
          <w:sz w:val="22"/>
          <w:szCs w:val="22"/>
        </w:rPr>
        <w:t xml:space="preserve">Lambers H, Raven JA, Shaver GR &amp; Smith SE (2008) Plant nutrient acquisition strategies change with soil age. </w:t>
      </w:r>
      <w:r>
        <w:rPr>
          <w:rFonts w:ascii="Calibri" w:hAnsi="Calibri" w:eastAsia="Calibri" w:cs="Calibri"/>
          <w:i/>
          <w:iCs/>
          <w:color w:val="000000"/>
          <w:sz w:val="22"/>
          <w:szCs w:val="22"/>
        </w:rPr>
        <w:t xml:space="preserve">Trends in Ecology &amp; Evolution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95–103.</w:t>
      </w:r>
    </w:p>
    <w:p>
      <w:pPr>
        <w:widowControl w:val="on"/>
        <w:pBdr/>
        <w:spacing w:before="220" w:after="220" w:line="240" w:lineRule="auto"/>
        <w:ind w:left="0" w:right="0"/>
        <w:jc w:val="left"/>
      </w:pPr>
      <w:r>
        <w:rPr>
          <w:rFonts w:ascii="Calibri" w:hAnsi="Calibri" w:eastAsia="Calibri" w:cs="Calibri"/>
          <w:color w:val="000000"/>
          <w:sz w:val="22"/>
          <w:szCs w:val="22"/>
        </w:rPr>
        <w:t xml:space="preserve">Lamont BB, Le Maitre DC, Cowling RM &amp; Enright NJ (1991) Canopy seed storage in woody plants. </w:t>
      </w:r>
      <w:r>
        <w:rPr>
          <w:rFonts w:ascii="Calibri" w:hAnsi="Calibri" w:eastAsia="Calibri" w:cs="Calibri"/>
          <w:i/>
          <w:iCs/>
          <w:color w:val="000000"/>
          <w:sz w:val="22"/>
          <w:szCs w:val="22"/>
        </w:rPr>
        <w:t xml:space="preserve">Botanical Review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278–311.</w:t>
      </w:r>
    </w:p>
    <w:p>
      <w:pPr>
        <w:widowControl w:val="on"/>
        <w:pBdr/>
        <w:spacing w:before="220" w:after="220" w:line="240" w:lineRule="auto"/>
        <w:ind w:left="0" w:right="0"/>
        <w:jc w:val="left"/>
      </w:pPr>
      <w:r>
        <w:rPr>
          <w:rFonts w:ascii="Calibri" w:hAnsi="Calibri" w:eastAsia="Calibri" w:cs="Calibri"/>
          <w:color w:val="000000"/>
          <w:sz w:val="22"/>
          <w:szCs w:val="22"/>
        </w:rPr>
        <w:t xml:space="preserve">Macdonald IAW (1984) Is the fynbos biome especially susceptible to invasion by alien plants? A re-analysis of available data.</w:t>
      </w:r>
      <w:r>
        <w:rPr>
          <w:rFonts w:ascii="Calibri" w:hAnsi="Calibri" w:eastAsia="Calibri" w:cs="Calibri"/>
          <w:i/>
          <w:iCs/>
          <w:color w:val="000000"/>
          <w:sz w:val="22"/>
          <w:szCs w:val="22"/>
        </w:rPr>
        <w:t xml:space="preserve"> South African Journal of Science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369–377.</w:t>
      </w:r>
    </w:p>
    <w:p>
      <w:pPr>
        <w:widowControl w:val="on"/>
        <w:pBdr/>
        <w:spacing w:before="220" w:after="220" w:line="240" w:lineRule="auto"/>
        <w:ind w:left="0" w:right="0"/>
        <w:jc w:val="left"/>
      </w:pPr>
      <w:r>
        <w:rPr>
          <w:rFonts w:ascii="Calibri" w:hAnsi="Calibri" w:eastAsia="Calibri" w:cs="Calibri"/>
          <w:color w:val="000000"/>
          <w:sz w:val="22"/>
          <w:szCs w:val="22"/>
        </w:rPr>
        <w:t xml:space="preserve">Macdonald IAW &amp; Richardson DM (1986) Alien species in the terrestrial ecosystems of the fynbos. In: </w:t>
      </w:r>
      <w:r>
        <w:rPr>
          <w:rFonts w:ascii="Calibri" w:hAnsi="Calibri" w:eastAsia="Calibri" w:cs="Calibri"/>
          <w:i/>
          <w:iCs/>
          <w:color w:val="000000"/>
          <w:sz w:val="22"/>
          <w:szCs w:val="22"/>
        </w:rPr>
        <w:t xml:space="preserve">The Ecology and Management of Biological Invasions in Southern Africa</w:t>
      </w:r>
      <w:r>
        <w:rPr>
          <w:rFonts w:ascii="Calibri" w:hAnsi="Calibri" w:eastAsia="Calibri" w:cs="Calibri"/>
          <w:color w:val="000000"/>
          <w:sz w:val="22"/>
          <w:szCs w:val="22"/>
        </w:rPr>
        <w:t xml:space="preserve"> (eds Macdonald IAW, Kruger FJ &amp; Ferrar AA), pp. 77–91. Oxford University Press, Cape Town (ZA).</w:t>
      </w:r>
    </w:p>
    <w:p>
      <w:pPr>
        <w:widowControl w:val="on"/>
        <w:pBdr/>
        <w:spacing w:before="220" w:after="220" w:line="240" w:lineRule="auto"/>
        <w:ind w:left="0" w:right="0"/>
        <w:jc w:val="left"/>
      </w:pPr>
      <w:r>
        <w:rPr>
          <w:rFonts w:ascii="Calibri" w:hAnsi="Calibri" w:eastAsia="Calibri" w:cs="Calibri"/>
          <w:color w:val="000000"/>
          <w:sz w:val="22"/>
          <w:szCs w:val="22"/>
        </w:rPr>
        <w:t xml:space="preserve">Mandle L, Bufford JL, Schmidt IB &amp; Daehler CC (2011) Woody exotic plant invasions and fire: reciprocal impacts and consequences for native ecosystems.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1815–1827.</w:t>
      </w:r>
    </w:p>
    <w:p>
      <w:pPr>
        <w:widowControl w:val="on"/>
        <w:pBdr/>
        <w:spacing w:before="220" w:after="220" w:line="240" w:lineRule="auto"/>
        <w:ind w:left="0" w:right="0"/>
        <w:jc w:val="left"/>
      </w:pPr>
      <w:r>
        <w:rPr>
          <w:rFonts w:ascii="Calibri" w:hAnsi="Calibri" w:eastAsia="Calibri" w:cs="Calibri"/>
          <w:color w:val="000000"/>
          <w:sz w:val="22"/>
          <w:szCs w:val="22"/>
        </w:rPr>
        <w:t xml:space="preserve">Marchante H, Morais M, Freitas H &amp; Marchante E (2014) </w:t>
      </w:r>
      <w:r>
        <w:rPr>
          <w:rFonts w:ascii="Calibri" w:hAnsi="Calibri" w:eastAsia="Calibri" w:cs="Calibri"/>
          <w:i/>
          <w:iCs/>
          <w:color w:val="000000"/>
          <w:sz w:val="22"/>
          <w:szCs w:val="22"/>
        </w:rPr>
        <w:t xml:space="preserve">Guia Prático Para a Identificação de Plantas Invasoras em Portugal.</w:t>
      </w:r>
      <w:r>
        <w:rPr>
          <w:rFonts w:ascii="Calibri" w:hAnsi="Calibri" w:eastAsia="Calibri" w:cs="Calibri"/>
          <w:color w:val="000000"/>
          <w:sz w:val="22"/>
          <w:szCs w:val="22"/>
        </w:rPr>
        <w:t xml:space="preserve"> Imprensa da Universidade de Coimbra, Coimbra (PT).</w:t>
      </w:r>
    </w:p>
    <w:p>
      <w:pPr>
        <w:widowControl w:val="on"/>
        <w:pBdr/>
        <w:spacing w:before="220" w:after="220" w:line="240" w:lineRule="auto"/>
        <w:ind w:left="0" w:right="0"/>
        <w:jc w:val="left"/>
      </w:pPr>
      <w:r>
        <w:rPr>
          <w:rFonts w:ascii="Calibri" w:hAnsi="Calibri" w:eastAsia="Calibri" w:cs="Calibri"/>
          <w:color w:val="000000"/>
          <w:sz w:val="22"/>
          <w:szCs w:val="22"/>
        </w:rPr>
        <w:t xml:space="preserve">Martins J, Richardson DM, Henriques R, Marchante E, Marchante H, Alves P et al. (2016) A multi-scale modelling framework to guide management of plant invasions in a ransboundary context. </w:t>
      </w:r>
      <w:r>
        <w:rPr>
          <w:rFonts w:ascii="Calibri" w:hAnsi="Calibri" w:eastAsia="Calibri" w:cs="Calibri"/>
          <w:i/>
          <w:iCs/>
          <w:color w:val="000000"/>
          <w:sz w:val="22"/>
          <w:szCs w:val="22"/>
        </w:rPr>
        <w:t xml:space="preserve">Forest Ecosystems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Moore G (2004). Proteaceae. In: </w:t>
      </w:r>
      <w:r>
        <w:rPr>
          <w:rFonts w:ascii="Calibri" w:hAnsi="Calibri" w:eastAsia="Calibri" w:cs="Calibri"/>
          <w:i/>
          <w:iCs/>
          <w:color w:val="000000"/>
          <w:sz w:val="22"/>
          <w:szCs w:val="22"/>
        </w:rPr>
        <w:t xml:space="preserve">Gardening on the Edge</w:t>
      </w:r>
      <w:r>
        <w:rPr>
          <w:rFonts w:ascii="Calibri" w:hAnsi="Calibri" w:eastAsia="Calibri" w:cs="Calibri"/>
          <w:color w:val="000000"/>
          <w:sz w:val="22"/>
          <w:szCs w:val="22"/>
        </w:rPr>
        <w:t xml:space="preserve"> (Ed. Browse PM), pp. 112–130. A. Hodge, Penzance, Cornwall (UK).</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DA &amp; Renwick JA (2000) Effects of variation in fire intensity on regeneration of co-occurring species of small trees in the Sydney region.</w:t>
      </w:r>
      <w:r>
        <w:rPr>
          <w:rFonts w:ascii="Calibri" w:hAnsi="Calibri" w:eastAsia="Calibri" w:cs="Calibri"/>
          <w:i/>
          <w:iCs/>
          <w:color w:val="000000"/>
          <w:sz w:val="22"/>
          <w:szCs w:val="22"/>
        </w:rPr>
        <w:t xml:space="preserve"> Australian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71–79.</w:t>
      </w:r>
    </w:p>
    <w:p>
      <w:pPr>
        <w:widowControl w:val="on"/>
        <w:pBdr/>
        <w:spacing w:before="220" w:after="220" w:line="240" w:lineRule="auto"/>
        <w:ind w:left="0" w:right="0"/>
        <w:jc w:val="left"/>
      </w:pPr>
      <w:r>
        <w:rPr>
          <w:rFonts w:ascii="Calibri" w:hAnsi="Calibri" w:eastAsia="Calibri" w:cs="Calibri"/>
          <w:color w:val="000000"/>
          <w:sz w:val="22"/>
          <w:szCs w:val="22"/>
        </w:rPr>
        <w:t xml:space="preserve">Neser S (1968) Studies on some potentially useful insect enemies of needle-bushes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spp. - Proteaceae), pp. 194. PhD Thesis, Australian National University, Canberra, ACT (AUS) (unpublished).</w:t>
      </w:r>
    </w:p>
    <w:p>
      <w:pPr>
        <w:widowControl w:val="on"/>
        <w:pBdr/>
        <w:spacing w:before="220" w:after="220" w:line="240" w:lineRule="auto"/>
        <w:ind w:left="0" w:right="0"/>
        <w:jc w:val="left"/>
      </w:pPr>
      <w:r>
        <w:rPr>
          <w:rFonts w:ascii="Calibri" w:hAnsi="Calibri" w:eastAsia="Calibri" w:cs="Calibri"/>
          <w:color w:val="000000"/>
          <w:sz w:val="22"/>
          <w:szCs w:val="22"/>
        </w:rPr>
        <w:t xml:space="preserve">Neser S &amp; Kluge RL (1985) A seed-feeding insect showing promise in the control of a woody, invasive plant: the weevil </w:t>
      </w:r>
      <w:r>
        <w:rPr>
          <w:rFonts w:ascii="Calibri" w:hAnsi="Calibri" w:eastAsia="Calibri" w:cs="Calibri"/>
          <w:i/>
          <w:iCs/>
          <w:color w:val="000000"/>
          <w:sz w:val="22"/>
          <w:szCs w:val="22"/>
        </w:rPr>
        <w:t xml:space="preserve">Erytenna consputa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(Proteaceae) in South Africa. In </w:t>
      </w:r>
      <w:r>
        <w:rPr>
          <w:rFonts w:ascii="Calibri" w:hAnsi="Calibri" w:eastAsia="Calibri" w:cs="Calibri"/>
          <w:i/>
          <w:iCs/>
          <w:color w:val="000000"/>
          <w:sz w:val="22"/>
          <w:szCs w:val="22"/>
        </w:rPr>
        <w:t xml:space="preserve">Proceedings of the VI International Symposium on Biological Control of Weeds,</w:t>
      </w:r>
      <w:r>
        <w:rPr>
          <w:rFonts w:ascii="Calibri" w:hAnsi="Calibri" w:eastAsia="Calibri" w:cs="Calibri"/>
          <w:color w:val="000000"/>
          <w:sz w:val="22"/>
          <w:szCs w:val="22"/>
        </w:rPr>
        <w:t xml:space="preserve"> Ottawa, Canada. Agriculture Canada, pp. 805–809.</w:t>
      </w:r>
    </w:p>
    <w:p>
      <w:pPr>
        <w:widowControl w:val="on"/>
        <w:pBdr/>
        <w:spacing w:before="220" w:after="220" w:line="240" w:lineRule="auto"/>
        <w:ind w:left="0" w:right="0"/>
        <w:jc w:val="left"/>
      </w:pPr>
      <w:r>
        <w:rPr>
          <w:rFonts w:ascii="Calibri" w:hAnsi="Calibri" w:eastAsia="Calibri" w:cs="Calibri"/>
          <w:color w:val="000000"/>
          <w:sz w:val="22"/>
          <w:szCs w:val="22"/>
        </w:rPr>
        <w:t xml:space="preserve">Paiva J (1997) </w:t>
      </w:r>
      <w:r>
        <w:rPr>
          <w:rFonts w:ascii="Calibri" w:hAnsi="Calibri" w:eastAsia="Calibri" w:cs="Calibri"/>
          <w:i/>
          <w:iCs/>
          <w:color w:val="000000"/>
          <w:sz w:val="22"/>
          <w:szCs w:val="22"/>
        </w:rPr>
        <w:t xml:space="preserve">Hakea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Flora Ibérica: Haloragaceae-Euphorbiaceae</w:t>
      </w:r>
      <w:r>
        <w:rPr>
          <w:rFonts w:ascii="Calibri" w:hAnsi="Calibri" w:eastAsia="Calibri" w:cs="Calibri"/>
          <w:color w:val="000000"/>
          <w:sz w:val="22"/>
          <w:szCs w:val="22"/>
        </w:rPr>
        <w:t xml:space="preserve"> (ed. Castroviejo S et al.), Vol. 8, pp. 375. Editorial CSIC-CSIC Press, Madrid (ES).</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EP (1938) The naturalized species of hakea. </w:t>
      </w:r>
      <w:r>
        <w:rPr>
          <w:rFonts w:ascii="Calibri" w:hAnsi="Calibri" w:eastAsia="Calibri" w:cs="Calibri"/>
          <w:i/>
          <w:iCs/>
          <w:color w:val="000000"/>
          <w:sz w:val="22"/>
          <w:szCs w:val="22"/>
        </w:rPr>
        <w:t xml:space="preserve">Farming in South Africa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424.</w:t>
      </w:r>
    </w:p>
    <w:p>
      <w:pPr>
        <w:widowControl w:val="on"/>
        <w:pBdr/>
        <w:spacing w:before="220" w:after="220" w:line="240" w:lineRule="auto"/>
        <w:ind w:left="0" w:right="0"/>
        <w:jc w:val="left"/>
      </w:pPr>
      <w:r>
        <w:rPr>
          <w:rFonts w:ascii="Calibri" w:hAnsi="Calibri" w:eastAsia="Calibri" w:cs="Calibri"/>
          <w:color w:val="000000"/>
          <w:sz w:val="22"/>
          <w:szCs w:val="22"/>
        </w:rPr>
        <w:t xml:space="preserve">Reva V, Pita LP, Lousada JL &amp; Viegas DX (2010) Small-scale bioenergy production as an incentive for forest fire prevention. In: P</w:t>
      </w:r>
      <w:r>
        <w:rPr>
          <w:rFonts w:ascii="Calibri" w:hAnsi="Calibri" w:eastAsia="Calibri" w:cs="Calibri"/>
          <w:i/>
          <w:iCs/>
          <w:color w:val="000000"/>
          <w:sz w:val="22"/>
          <w:szCs w:val="22"/>
        </w:rPr>
        <w:t xml:space="preserve">roceedings of the 6th International Conference on Forest Fire Research,</w:t>
      </w:r>
      <w:r>
        <w:rPr>
          <w:rFonts w:ascii="Calibri" w:hAnsi="Calibri" w:eastAsia="Calibri" w:cs="Calibri"/>
          <w:color w:val="000000"/>
          <w:sz w:val="22"/>
          <w:szCs w:val="22"/>
        </w:rPr>
        <w:t xml:space="preserve"> pp. 15–18.</w:t>
      </w:r>
    </w:p>
    <w:p>
      <w:pPr>
        <w:widowControl w:val="on"/>
        <w:pBdr/>
        <w:spacing w:before="220" w:after="220" w:line="240" w:lineRule="auto"/>
        <w:ind w:left="0" w:right="0"/>
        <w:jc w:val="left"/>
      </w:pPr>
      <w:r>
        <w:rPr>
          <w:rFonts w:ascii="Calibri" w:hAnsi="Calibri" w:eastAsia="Calibri" w:cs="Calibri"/>
          <w:color w:val="000000"/>
          <w:sz w:val="22"/>
          <w:szCs w:val="22"/>
        </w:rPr>
        <w:t xml:space="preserve">RHS (2018) Find a plant. Available at: </w:t>
      </w:r>
      <w:hyperlink r:id="rId77166803a7bf691c2" w:history="1">
        <w:r>
          <w:rPr>
            <w:rFonts w:ascii="Calibri" w:hAnsi="Calibri" w:eastAsia="Calibri" w:cs="Calibri"/>
            <w:color w:val="0000CC"/>
            <w:sz w:val="22"/>
            <w:szCs w:val="22"/>
            <w:u w:val="single"/>
          </w:rPr>
          <w:t xml:space="preserve">https://www.rhs.org.uk/plants/search-Form</w:t>
        </w:r>
      </w:hyperlink>
      <w:r>
        <w:rPr>
          <w:rFonts w:ascii="Calibri" w:hAnsi="Calibri" w:eastAsia="Calibri" w:cs="Calibri"/>
          <w:color w:val="000000"/>
          <w:sz w:val="22"/>
          <w:szCs w:val="22"/>
        </w:rPr>
        <w:t xml:space="preserve">. [Accessed 25th March, 2017]</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DM (1984) A cartographic analysis of physiographic factors influencing the distribution of </w:t>
      </w:r>
      <w:r>
        <w:rPr>
          <w:rFonts w:ascii="Calibri" w:hAnsi="Calibri" w:eastAsia="Calibri" w:cs="Calibri"/>
          <w:i/>
          <w:iCs/>
          <w:color w:val="000000"/>
          <w:sz w:val="22"/>
          <w:szCs w:val="22"/>
        </w:rPr>
        <w:t xml:space="preserve">Hakea</w:t>
      </w:r>
      <w:r>
        <w:rPr>
          <w:rFonts w:ascii="Calibri" w:hAnsi="Calibri" w:eastAsia="Calibri" w:cs="Calibri"/>
          <w:color w:val="000000"/>
          <w:sz w:val="22"/>
          <w:szCs w:val="22"/>
        </w:rPr>
        <w:t xml:space="preserve"> spp, in the South-Western Cape. </w:t>
      </w:r>
      <w:r>
        <w:rPr>
          <w:rFonts w:ascii="Calibri" w:hAnsi="Calibri" w:eastAsia="Calibri" w:cs="Calibri"/>
          <w:i/>
          <w:iCs/>
          <w:color w:val="000000"/>
          <w:sz w:val="22"/>
          <w:szCs w:val="22"/>
        </w:rPr>
        <w:t xml:space="preserve">South African Forestry Journal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36–40.</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DM, Macdonald IAW &amp; Forsyth GG (1989) Reductions in plant species richness under stands of alien trees and shrubs in the fynbos biome. </w:t>
      </w:r>
      <w:r>
        <w:rPr>
          <w:rFonts w:ascii="Calibri" w:hAnsi="Calibri" w:eastAsia="Calibri" w:cs="Calibri"/>
          <w:i/>
          <w:iCs/>
          <w:color w:val="000000"/>
          <w:sz w:val="22"/>
          <w:szCs w:val="22"/>
        </w:rPr>
        <w:t xml:space="preserve">South African Forestry Journal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DM &amp; van Wilgen BW (2004) Invasive alien plants in South Africa: how well do we understand the ecological impacts?</w:t>
      </w:r>
      <w:r>
        <w:rPr>
          <w:rFonts w:ascii="Calibri" w:hAnsi="Calibri" w:eastAsia="Calibri" w:cs="Calibri"/>
          <w:i/>
          <w:iCs/>
          <w:color w:val="000000"/>
          <w:sz w:val="22"/>
          <w:szCs w:val="22"/>
        </w:rPr>
        <w:t xml:space="preserve"> South African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45–52.</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DM &amp; van Wilgen BW (1986) The effects of fire in felled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and natural fynbos and implications for weed control in mountain catchments. </w:t>
      </w:r>
      <w:r>
        <w:rPr>
          <w:rFonts w:ascii="Calibri" w:hAnsi="Calibri" w:eastAsia="Calibri" w:cs="Calibri"/>
          <w:i/>
          <w:iCs/>
          <w:color w:val="000000"/>
          <w:sz w:val="22"/>
          <w:szCs w:val="22"/>
        </w:rPr>
        <w:t xml:space="preserve">South African Forestry Journal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4–14.</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DM, van Wilgen BW &amp; Mitchell DT (1987) Aspects of the reproductive ecology of four Australian Hakea species (Proteaceae) in South Africa.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345–354.</w:t>
      </w:r>
    </w:p>
    <w:p>
      <w:pPr>
        <w:widowControl w:val="on"/>
        <w:pBdr/>
        <w:spacing w:before="220" w:after="220" w:line="240" w:lineRule="auto"/>
        <w:ind w:left="0" w:right="0"/>
        <w:jc w:val="left"/>
      </w:pPr>
      <w:r>
        <w:rPr>
          <w:rFonts w:ascii="Calibri" w:hAnsi="Calibri" w:eastAsia="Calibri" w:cs="Calibri"/>
          <w:color w:val="000000"/>
          <w:sz w:val="22"/>
          <w:szCs w:val="22"/>
        </w:rPr>
        <w:t xml:space="preserve">Sañudo ÍP (2006) Aportaciones a la flora del sur de Galicia (NO España). </w:t>
      </w:r>
      <w:r>
        <w:rPr>
          <w:rFonts w:ascii="Calibri" w:hAnsi="Calibri" w:eastAsia="Calibri" w:cs="Calibri"/>
          <w:i/>
          <w:iCs/>
          <w:color w:val="000000"/>
          <w:sz w:val="22"/>
          <w:szCs w:val="22"/>
        </w:rPr>
        <w:t xml:space="preserve">Botanica Complutensis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Scott DF (1993) The hydrological effects of fire in South African mountain catchments. </w:t>
      </w:r>
      <w:r>
        <w:rPr>
          <w:rFonts w:ascii="Calibri" w:hAnsi="Calibri" w:eastAsia="Calibri" w:cs="Calibri"/>
          <w:i/>
          <w:iCs/>
          <w:color w:val="000000"/>
          <w:sz w:val="22"/>
          <w:szCs w:val="22"/>
        </w:rPr>
        <w:t xml:space="preserve">Journal of Hydrology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409–432.</w:t>
      </w:r>
    </w:p>
    <w:p>
      <w:pPr>
        <w:widowControl w:val="on"/>
        <w:pBdr/>
        <w:spacing w:before="220" w:after="220" w:line="240" w:lineRule="auto"/>
        <w:ind w:left="0" w:right="0"/>
        <w:jc w:val="left"/>
      </w:pPr>
      <w:r>
        <w:rPr>
          <w:rFonts w:ascii="Calibri" w:hAnsi="Calibri" w:eastAsia="Calibri" w:cs="Calibri"/>
          <w:color w:val="000000"/>
          <w:sz w:val="22"/>
          <w:szCs w:val="22"/>
        </w:rPr>
        <w:t xml:space="preserve">Scott DF &amp; van Wyk DB (1990) The effects of wildfire on soil wettability and hydrological behaviour of an afforested catchment.</w:t>
      </w:r>
      <w:r>
        <w:rPr>
          <w:rFonts w:ascii="Calibri" w:hAnsi="Calibri" w:eastAsia="Calibri" w:cs="Calibri"/>
          <w:i/>
          <w:iCs/>
          <w:color w:val="000000"/>
          <w:sz w:val="22"/>
          <w:szCs w:val="22"/>
        </w:rPr>
        <w:t xml:space="preserve"> Journal of Hydrology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 239–256.</w:t>
      </w:r>
    </w:p>
    <w:p>
      <w:pPr>
        <w:widowControl w:val="on"/>
        <w:pBdr/>
        <w:spacing w:before="220" w:after="220" w:line="240" w:lineRule="auto"/>
        <w:ind w:left="0" w:right="0"/>
        <w:jc w:val="left"/>
      </w:pPr>
      <w:r>
        <w:rPr>
          <w:rFonts w:ascii="Calibri" w:hAnsi="Calibri" w:eastAsia="Calibri" w:cs="Calibri"/>
          <w:color w:val="000000"/>
          <w:sz w:val="22"/>
          <w:szCs w:val="22"/>
        </w:rPr>
        <w:t xml:space="preserve">Shaughnessy GL (1986) A case study of some woody plant introductions to the Cape Town area. In: </w:t>
      </w:r>
      <w:r>
        <w:rPr>
          <w:rFonts w:ascii="Calibri" w:hAnsi="Calibri" w:eastAsia="Calibri" w:cs="Calibri"/>
          <w:i/>
          <w:iCs/>
          <w:color w:val="000000"/>
          <w:sz w:val="22"/>
          <w:szCs w:val="22"/>
        </w:rPr>
        <w:t xml:space="preserve">The Ecology and Management of Biological Invasions in Southern Africa</w:t>
      </w:r>
      <w:r>
        <w:rPr>
          <w:rFonts w:ascii="Calibri" w:hAnsi="Calibri" w:eastAsia="Calibri" w:cs="Calibri"/>
          <w:color w:val="000000"/>
          <w:sz w:val="22"/>
          <w:szCs w:val="22"/>
        </w:rPr>
        <w:t xml:space="preserve"> (eds Macdonald IAW, Kruger FJ &amp; Ferrar AA), pp. 37–43. Oxford University Press, Cape Town (ZA).</w:t>
      </w:r>
    </w:p>
    <w:p>
      <w:pPr>
        <w:widowControl w:val="on"/>
        <w:pBdr/>
        <w:spacing w:before="220" w:after="220" w:line="240" w:lineRule="auto"/>
        <w:ind w:left="0" w:right="0"/>
        <w:jc w:val="left"/>
      </w:pPr>
      <w:r>
        <w:rPr>
          <w:rFonts w:ascii="Calibri" w:hAnsi="Calibri" w:eastAsia="Calibri" w:cs="Calibri"/>
          <w:color w:val="000000"/>
          <w:sz w:val="22"/>
          <w:szCs w:val="22"/>
        </w:rPr>
        <w:t xml:space="preserve">Specht RL (1994) Heathlands. In: </w:t>
      </w:r>
      <w:r>
        <w:rPr>
          <w:rFonts w:ascii="Calibri" w:hAnsi="Calibri" w:eastAsia="Calibri" w:cs="Calibri"/>
          <w:i/>
          <w:iCs/>
          <w:color w:val="000000"/>
          <w:sz w:val="22"/>
          <w:szCs w:val="22"/>
        </w:rPr>
        <w:t xml:space="preserve">Australian Vegetation</w:t>
      </w:r>
      <w:r>
        <w:rPr>
          <w:rFonts w:ascii="Calibri" w:hAnsi="Calibri" w:eastAsia="Calibri" w:cs="Calibri"/>
          <w:color w:val="000000"/>
          <w:sz w:val="22"/>
          <w:szCs w:val="22"/>
        </w:rPr>
        <w:t xml:space="preserve"> (ed. Groves RH), pp. 321–344. Cambridge University Press, Cambridge (UK).</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 prioritisation of a short list of alien plants for risk analysis within the framework of the Regulation (EU) No. 1143/2014.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w:t>
      </w:r>
    </w:p>
    <w:p>
      <w:pPr>
        <w:widowControl w:val="on"/>
        <w:pBdr/>
        <w:spacing w:before="220" w:after="220" w:line="240" w:lineRule="auto"/>
        <w:ind w:left="0" w:right="0"/>
        <w:jc w:val="left"/>
      </w:pPr>
      <w:r>
        <w:rPr>
          <w:rFonts w:ascii="Calibri" w:hAnsi="Calibri" w:eastAsia="Calibri" w:cs="Calibri"/>
          <w:color w:val="000000"/>
          <w:sz w:val="22"/>
          <w:szCs w:val="22"/>
        </w:rPr>
        <w:t xml:space="preserve">van Wilgen BW &amp; Richardson DM (1985) The effects of alien shrub invasions on vegetation structure and fire behaviour in South African fynbos shrublands: a simulation study. </w:t>
      </w:r>
      <w:r>
        <w:rPr>
          <w:rFonts w:ascii="Calibri" w:hAnsi="Calibri" w:eastAsia="Calibri" w:cs="Calibri"/>
          <w:i/>
          <w:iCs/>
          <w:color w:val="000000"/>
          <w:sz w:val="22"/>
          <w:szCs w:val="22"/>
        </w:rPr>
        <w:t xml:space="preserve">Journal of Applied Ecology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955–966.</w:t>
      </w:r>
    </w:p>
    <w:p>
      <w:pPr>
        <w:widowControl w:val="on"/>
        <w:pBdr/>
        <w:spacing w:before="220" w:after="220" w:line="240" w:lineRule="auto"/>
        <w:ind w:left="0" w:right="0"/>
        <w:jc w:val="left"/>
      </w:pPr>
      <w:r>
        <w:rPr>
          <w:rFonts w:ascii="Calibri" w:hAnsi="Calibri" w:eastAsia="Calibri" w:cs="Calibri"/>
          <w:color w:val="000000"/>
          <w:sz w:val="22"/>
          <w:szCs w:val="22"/>
        </w:rPr>
        <w:t xml:space="preserve">van Wilgen BW, Cowling RM &amp; Burgers CJ (1996) Valuation of ecosystem services. </w:t>
      </w:r>
      <w:r>
        <w:rPr>
          <w:rFonts w:ascii="Calibri" w:hAnsi="Calibri" w:eastAsia="Calibri" w:cs="Calibri"/>
          <w:i/>
          <w:iCs/>
          <w:color w:val="000000"/>
          <w:sz w:val="22"/>
          <w:szCs w:val="22"/>
        </w:rPr>
        <w:t xml:space="preserve">BioScience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184–189.</w:t>
      </w:r>
    </w:p>
    <w:p>
      <w:pPr>
        <w:widowControl w:val="on"/>
        <w:pBdr/>
        <w:spacing w:before="220" w:after="220" w:line="240" w:lineRule="auto"/>
        <w:ind w:left="0" w:right="0"/>
        <w:jc w:val="left"/>
      </w:pPr>
      <w:r>
        <w:rPr>
          <w:rFonts w:ascii="Calibri" w:hAnsi="Calibri" w:eastAsia="Calibri" w:cs="Calibri"/>
          <w:color w:val="000000"/>
          <w:sz w:val="22"/>
          <w:szCs w:val="22"/>
        </w:rPr>
        <w:t xml:space="preserve">van Wilgen BW, Richardson DM, Le Maitre DC, Marais C &amp; Magadlela D (2001) The economic consequences of alien plant invasions: examples of impacts and approaches to sustainable management in South Africa. </w:t>
      </w:r>
      <w:r>
        <w:rPr>
          <w:rFonts w:ascii="Calibri" w:hAnsi="Calibri" w:eastAsia="Calibri" w:cs="Calibri"/>
          <w:i/>
          <w:iCs/>
          <w:color w:val="000000"/>
          <w:sz w:val="22"/>
          <w:szCs w:val="22"/>
        </w:rPr>
        <w:t xml:space="preserve">Environment, Development and Sustainability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145–168.</w:t>
      </w:r>
    </w:p>
    <w:p>
      <w:pPr>
        <w:widowControl w:val="on"/>
        <w:pBdr/>
        <w:spacing w:before="220" w:after="220" w:line="240" w:lineRule="auto"/>
        <w:ind w:left="0" w:right="0"/>
        <w:jc w:val="left"/>
      </w:pPr>
      <w:r>
        <w:rPr>
          <w:rFonts w:ascii="Calibri" w:hAnsi="Calibri" w:eastAsia="Calibri" w:cs="Calibri"/>
          <w:color w:val="000000"/>
          <w:sz w:val="22"/>
          <w:szCs w:val="22"/>
        </w:rPr>
        <w:t xml:space="preserve">van Wilgen BW, Nel JL &amp; Rouget M (2007) Invasive alien plants and South African rivers: a proposed approach to the prioritization of control operations. </w:t>
      </w:r>
      <w:r>
        <w:rPr>
          <w:rFonts w:ascii="Calibri" w:hAnsi="Calibri" w:eastAsia="Calibri" w:cs="Calibri"/>
          <w:i/>
          <w:iCs/>
          <w:color w:val="000000"/>
          <w:sz w:val="22"/>
          <w:szCs w:val="22"/>
        </w:rPr>
        <w:t xml:space="preserve">Freshwater Biology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711–723.</w:t>
      </w:r>
    </w:p>
    <w:p>
      <w:pPr>
        <w:widowControl w:val="on"/>
        <w:pBdr/>
        <w:spacing w:before="220" w:after="220" w:line="240" w:lineRule="auto"/>
        <w:ind w:left="0" w:right="0"/>
        <w:jc w:val="left"/>
      </w:pPr>
      <w:r>
        <w:rPr>
          <w:rFonts w:ascii="Calibri" w:hAnsi="Calibri" w:eastAsia="Calibri" w:cs="Calibri"/>
          <w:color w:val="000000"/>
          <w:sz w:val="22"/>
          <w:szCs w:val="22"/>
        </w:rPr>
        <w:t xml:space="preserve">Vieira RMS (2002) </w:t>
      </w:r>
      <w:r>
        <w:rPr>
          <w:rFonts w:ascii="Calibri" w:hAnsi="Calibri" w:eastAsia="Calibri" w:cs="Calibri"/>
          <w:i/>
          <w:iCs/>
          <w:color w:val="000000"/>
          <w:sz w:val="22"/>
          <w:szCs w:val="22"/>
        </w:rPr>
        <w:t xml:space="preserve">Flora da Madeira: Plantas Vasculares Naturalizadas no Arquipélago da Madeira. Boletim do Museu Municipal do Funchal</w:t>
      </w:r>
      <w:r>
        <w:rPr>
          <w:rFonts w:ascii="Calibri" w:hAnsi="Calibri" w:eastAsia="Calibri" w:cs="Calibri"/>
          <w:color w:val="000000"/>
          <w:sz w:val="22"/>
          <w:szCs w:val="22"/>
        </w:rPr>
        <w:t xml:space="preserve">, Suplemento 8 pp. 152. Cámara Municipal do Funchal, Funchal (PT).</w:t>
      </w:r>
    </w:p>
    <w:p>
      <w:pPr>
        <w:widowControl w:val="on"/>
        <w:pBdr/>
        <w:spacing w:before="220" w:after="220" w:line="240" w:lineRule="auto"/>
        <w:ind w:left="0" w:right="0"/>
        <w:jc w:val="left"/>
      </w:pPr>
      <w:r>
        <w:rPr>
          <w:rFonts w:ascii="Calibri" w:hAnsi="Calibri" w:eastAsia="Calibri" w:cs="Calibri"/>
          <w:color w:val="000000"/>
          <w:sz w:val="22"/>
          <w:szCs w:val="22"/>
        </w:rPr>
        <w:t xml:space="preserve">Webb CJ, Sykes WR &amp; Garnock-Jones PJ (1988) </w:t>
      </w:r>
      <w:r>
        <w:rPr>
          <w:rFonts w:ascii="Calibri" w:hAnsi="Calibri" w:eastAsia="Calibri" w:cs="Calibri"/>
          <w:i/>
          <w:iCs/>
          <w:color w:val="000000"/>
          <w:sz w:val="22"/>
          <w:szCs w:val="22"/>
        </w:rPr>
        <w:t xml:space="preserve">Flora of New Zealand. Vol. IV. Naturalised Pteridophytes, Gymnosperms, Dicotyledons</w:t>
      </w:r>
      <w:r>
        <w:rPr>
          <w:rFonts w:ascii="Calibri" w:hAnsi="Calibri" w:eastAsia="Calibri" w:cs="Calibri"/>
          <w:color w:val="000000"/>
          <w:sz w:val="22"/>
          <w:szCs w:val="22"/>
        </w:rPr>
        <w:t xml:space="preserve">. Botany Division DSIR, Christchurch (NZ).</w:t>
      </w:r>
    </w:p>
    <w:p>
      <w:pPr>
        <w:widowControl w:val="on"/>
        <w:pBdr/>
        <w:spacing w:before="220" w:after="220" w:line="240" w:lineRule="auto"/>
        <w:ind w:left="0" w:right="0"/>
        <w:jc w:val="left"/>
      </w:pPr>
      <w:r>
        <w:rPr>
          <w:rFonts w:ascii="Calibri" w:hAnsi="Calibri" w:eastAsia="Calibri" w:cs="Calibri"/>
          <w:color w:val="000000"/>
          <w:sz w:val="22"/>
          <w:szCs w:val="22"/>
        </w:rPr>
        <w:t xml:space="preserve">Whelan RJ (1995) </w:t>
      </w:r>
      <w:r>
        <w:rPr>
          <w:rFonts w:ascii="Calibri" w:hAnsi="Calibri" w:eastAsia="Calibri" w:cs="Calibri"/>
          <w:i/>
          <w:iCs/>
          <w:color w:val="000000"/>
          <w:sz w:val="22"/>
          <w:szCs w:val="22"/>
        </w:rPr>
        <w:t xml:space="preserve">The Ecology of Fire</w:t>
      </w:r>
      <w:r>
        <w:rPr>
          <w:rFonts w:ascii="Calibri" w:hAnsi="Calibri" w:eastAsia="Calibri" w:cs="Calibri"/>
          <w:color w:val="000000"/>
          <w:sz w:val="22"/>
          <w:szCs w:val="22"/>
        </w:rPr>
        <w:t xml:space="preserve">. Cambridge University Press, Cambridge (UK).</w:t>
      </w:r>
    </w:p>
    <w:p>
      <w:pPr>
        <w:widowControl w:val="on"/>
        <w:pBdr/>
        <w:spacing w:before="220" w:after="220" w:line="240" w:lineRule="auto"/>
        <w:ind w:left="0" w:right="0"/>
        <w:jc w:val="left"/>
      </w:pPr>
      <w:r>
        <w:rPr>
          <w:rFonts w:ascii="Calibri" w:hAnsi="Calibri" w:eastAsia="Calibri" w:cs="Calibri"/>
          <w:color w:val="000000"/>
          <w:sz w:val="22"/>
          <w:szCs w:val="22"/>
        </w:rPr>
        <w:t xml:space="preserve">Xunta de Galicia (n.d.) </w:t>
      </w:r>
      <w:r>
        <w:rPr>
          <w:rFonts w:ascii="Calibri" w:hAnsi="Calibri" w:eastAsia="Calibri" w:cs="Calibri"/>
          <w:i/>
          <w:iCs/>
          <w:color w:val="000000"/>
          <w:sz w:val="22"/>
          <w:szCs w:val="22"/>
        </w:rPr>
        <w:t xml:space="preserve">Plantas Invasoras de Galicia: Bioloxía, distribución e métodos de control. Xunta de Galicia</w:t>
      </w:r>
      <w:r>
        <w:rPr>
          <w:rFonts w:ascii="Calibri" w:hAnsi="Calibri" w:eastAsia="Calibri" w:cs="Calibri"/>
          <w:color w:val="000000"/>
          <w:sz w:val="22"/>
          <w:szCs w:val="22"/>
        </w:rPr>
        <w:t xml:space="preserve">: Galicia. </w:t>
      </w:r>
      <w:hyperlink r:id="rId41466803a7bf69869" w:history="1">
        <w:r>
          <w:rPr>
            <w:rFonts w:ascii="Calibri" w:hAnsi="Calibri" w:eastAsia="Calibri" w:cs="Calibri"/>
            <w:color w:val="0000CC"/>
            <w:sz w:val="22"/>
            <w:szCs w:val="22"/>
            <w:u w:val="single"/>
          </w:rPr>
          <w:t xml:space="preserve">http://www.ciencias-marinas.uvigo.es/bibliografia_ambiental/plantas/Plantas%20aloctonas/Plantas%20invasoras%20de%20Galicia.pdf</w:t>
        </w:r>
      </w:hyperlink>
      <w:r>
        <w:rPr>
          <w:rFonts w:ascii="Calibri" w:hAnsi="Calibri" w:eastAsia="Calibri" w:cs="Calibri"/>
          <w:color w:val="000000"/>
          <w:sz w:val="22"/>
          <w:szCs w:val="22"/>
        </w:rPr>
        <w:t xml:space="preserve"> [accessed on 19 May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1143/2014. The datasheet was produced following an Expert Working Group (EWG) that risk analysed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for the EPPO region in May 2017. The composition of the EWG was: A. Arnaud (Fédération des Conservatoires Botaniques Nationaux, FR), D. Chapman (Centre for Ecology and Hydrology, GB), J. Le Roux (Stellenbosch University ZA), M. Linnamägi (Ministry of Environment, Nature Conservation Department, EE), E. Marchante (University of Coimbra, PT), N. Pasiecznik (Agroforestry Enterprises, FR), O. Pescott (Centre for Ecology and Hydrology, GB), I. Singh (University of Delhi, IN), U. Starfinger (Institute for National and International Plant Health, DE), J. Vicente (University of Porto, PT)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EPPO datasheets on pests recommended for regulation. Available online. </w:t>
      </w:r>
      <w:hyperlink r:id="rId96806803a7bf6997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Schrad. &amp; J.C.Wendl.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273-279. </w:t>
      </w:r>
      <w:hyperlink r:id="rId77586803a7bf69a57" w:history="1">
        <w:r>
          <w:rPr>
            <w:rFonts w:ascii="Calibri" w:hAnsi="Calibri" w:eastAsia="Calibri" w:cs="Calibri"/>
            <w:color w:val="0000CC"/>
            <w:sz w:val="22"/>
            <w:szCs w:val="22"/>
            <w:u w:val="single"/>
          </w:rPr>
          <w:t xml:space="preserve">https://doi.org/10.1111/epp.12527</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855989">
    <w:multiLevelType w:val="hybridMultilevel"/>
    <w:lvl w:ilvl="0" w:tplc="45085844">
      <w:start w:val="1"/>
      <w:numFmt w:val="decimal"/>
      <w:lvlText w:val="%1."/>
      <w:lvlJc w:val="left"/>
      <w:pPr>
        <w:ind w:left="720" w:hanging="360"/>
      </w:pPr>
    </w:lvl>
    <w:lvl w:ilvl="1" w:tplc="45085844" w:tentative="1">
      <w:start w:val="1"/>
      <w:numFmt w:val="lowerLetter"/>
      <w:lvlText w:val="%2."/>
      <w:lvlJc w:val="left"/>
      <w:pPr>
        <w:ind w:left="1440" w:hanging="360"/>
      </w:pPr>
    </w:lvl>
    <w:lvl w:ilvl="2" w:tplc="45085844" w:tentative="1">
      <w:start w:val="1"/>
      <w:numFmt w:val="lowerRoman"/>
      <w:lvlText w:val="%3."/>
      <w:lvlJc w:val="right"/>
      <w:pPr>
        <w:ind w:left="2160" w:hanging="180"/>
      </w:pPr>
    </w:lvl>
    <w:lvl w:ilvl="3" w:tplc="45085844" w:tentative="1">
      <w:start w:val="1"/>
      <w:numFmt w:val="decimal"/>
      <w:lvlText w:val="%4."/>
      <w:lvlJc w:val="left"/>
      <w:pPr>
        <w:ind w:left="2880" w:hanging="360"/>
      </w:pPr>
    </w:lvl>
    <w:lvl w:ilvl="4" w:tplc="45085844" w:tentative="1">
      <w:start w:val="1"/>
      <w:numFmt w:val="lowerLetter"/>
      <w:lvlText w:val="%5."/>
      <w:lvlJc w:val="left"/>
      <w:pPr>
        <w:ind w:left="3600" w:hanging="360"/>
      </w:pPr>
    </w:lvl>
    <w:lvl w:ilvl="5" w:tplc="45085844" w:tentative="1">
      <w:start w:val="1"/>
      <w:numFmt w:val="lowerRoman"/>
      <w:lvlText w:val="%6."/>
      <w:lvlJc w:val="right"/>
      <w:pPr>
        <w:ind w:left="4320" w:hanging="180"/>
      </w:pPr>
    </w:lvl>
    <w:lvl w:ilvl="6" w:tplc="45085844" w:tentative="1">
      <w:start w:val="1"/>
      <w:numFmt w:val="decimal"/>
      <w:lvlText w:val="%7."/>
      <w:lvlJc w:val="left"/>
      <w:pPr>
        <w:ind w:left="5040" w:hanging="360"/>
      </w:pPr>
    </w:lvl>
    <w:lvl w:ilvl="7" w:tplc="45085844" w:tentative="1">
      <w:start w:val="1"/>
      <w:numFmt w:val="lowerLetter"/>
      <w:lvlText w:val="%8."/>
      <w:lvlJc w:val="left"/>
      <w:pPr>
        <w:ind w:left="5760" w:hanging="360"/>
      </w:pPr>
    </w:lvl>
    <w:lvl w:ilvl="8" w:tplc="45085844" w:tentative="1">
      <w:start w:val="1"/>
      <w:numFmt w:val="lowerRoman"/>
      <w:lvlText w:val="%9."/>
      <w:lvlJc w:val="right"/>
      <w:pPr>
        <w:ind w:left="6480" w:hanging="180"/>
      </w:pPr>
    </w:lvl>
  </w:abstractNum>
  <w:abstractNum w:abstractNumId="23855988">
    <w:multiLevelType w:val="hybridMultilevel"/>
    <w:lvl w:ilvl="0" w:tplc="8136622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855988">
    <w:abstractNumId w:val="23855988"/>
  </w:num>
  <w:num w:numId="23855989">
    <w:abstractNumId w:val="2385598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78413096" Type="http://schemas.microsoft.com/office/2011/relationships/commentsExtended" Target="commentsExtended.xml"/><Relationship Id="rId742917562" Type="http://schemas.microsoft.com/office/2011/relationships/people" Target="people.xml"/><Relationship Id="rId16916803a7bf64816" Type="http://schemas.openxmlformats.org/officeDocument/2006/relationships/hyperlink" Target="https://gd.eppo.int/taxon/HKASE/" TargetMode="External"/><Relationship Id="rId48166803a7bf64883" Type="http://schemas.openxmlformats.org/officeDocument/2006/relationships/hyperlink" Target="https://gd.eppo.int/taxon/HKASE/categorization" TargetMode="External"/><Relationship Id="rId54316803a7bf6543d" Type="http://schemas.openxmlformats.org/officeDocument/2006/relationships/hyperlink" Target="https://gd.eppo.int/taxon/HKASE/photos" TargetMode="External"/><Relationship Id="rId14226803a7bf66e66" Type="http://schemas.openxmlformats.org/officeDocument/2006/relationships/hyperlink" Target="http://www.ppp-index.de/" TargetMode="External"/><Relationship Id="rId46926803a7bf67f8f" Type="http://schemas.openxmlformats.org/officeDocument/2006/relationships/hyperlink" Target="http://www.environment.gov.za" TargetMode="External"/><Relationship Id="rId72546803a7bf6801e" Type="http://schemas.openxmlformats.org/officeDocument/2006/relationships/hyperlink" Target="https://www.anbg.gov.au/gnp/gnp3/hakea-sericea.html" TargetMode="External"/><Relationship Id="rId78766803a7bf68134" Type="http://schemas.openxmlformats.org/officeDocument/2006/relationships/hyperlink" Target="http://www.flora.sa.gov.au/id_tool.html" TargetMode="External"/><Relationship Id="rId52296803a7bf684bc" Type="http://schemas.openxmlformats.org/officeDocument/2006/relationships/hyperlink" Target="http://www.cabi.org/isc/datasheet/27302" TargetMode="External"/><Relationship Id="rId53096803a7bf6855b" Type="http://schemas.openxmlformats.org/officeDocument/2006/relationships/hyperlink" Target="http://www.sviva.gov.il/English/env_topics/biodiversity/Documents/InvasiveSpecies-July2013.pdf" TargetMode="External"/><Relationship Id="rId61676803a7bf685db" Type="http://schemas.openxmlformats.org/officeDocument/2006/relationships/hyperlink" Target="https://pra.eppo.int/" TargetMode="External"/><Relationship Id="rId37836803a7bf686c3" Type="http://schemas.openxmlformats.org/officeDocument/2006/relationships/hyperlink" Target="http://thekrugs.free.fr/HakeaHandbook" TargetMode="External"/><Relationship Id="rId89696803a7bf68b73" Type="http://schemas.openxmlformats.org/officeDocument/2006/relationships/hyperlink" Target="http://actd.iict.pt/view/actd:LISC049867" TargetMode="External"/><Relationship Id="rId13066803a7bf68bd3" Type="http://schemas.openxmlformats.org/officeDocument/2006/relationships/hyperlink" Target="http://actd.iict.pt/view/actd:LISC049868" TargetMode="External"/><Relationship Id="rId77166803a7bf691c2" Type="http://schemas.openxmlformats.org/officeDocument/2006/relationships/hyperlink" Target="https://www.rhs.org.uk/plants/search-Form" TargetMode="External"/><Relationship Id="rId41466803a7bf69869" Type="http://schemas.openxmlformats.org/officeDocument/2006/relationships/hyperlink" Target="http://www.ciencias-marinas.uvigo.es/bibliografia_ambiental/plantas/Plantas%20aloctonas/Plantas%20invasoras%20de%20Galicia.pdf" TargetMode="External"/><Relationship Id="rId96806803a7bf69973" Type="http://schemas.openxmlformats.org/officeDocument/2006/relationships/hyperlink" Target="https://gd.eppo.int" TargetMode="External"/><Relationship Id="rId77586803a7bf69a57" Type="http://schemas.openxmlformats.org/officeDocument/2006/relationships/hyperlink" Target="https://doi.org/10.1111/epp.12527" TargetMode="External"/><Relationship Id="rId55666803a7bf652d0" Type="http://schemas.openxmlformats.org/officeDocument/2006/relationships/image" Target="media/imgrId55666803a7bf652d0.jpg"/><Relationship Id="rId97156803a7bf664d8" Type="http://schemas.openxmlformats.org/officeDocument/2006/relationships/image" Target="media/imgrId97156803a7bf664d8.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