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Coniferiporia weirii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2023-01-25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Coniferiporia weirii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(Murrill) L.W. Zhou &amp; Y.C. Dai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Agaricomycotina: Agaricomycetes: Hymenochaetales: Hymenochaetaceae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Fomitiporia weirii</w:t>
            </w:r>
            <w:r>
              <w:rPr>
                <w:rFonts w:ascii="Calibri" w:hAnsi="Calibri" w:eastAsia="Calibri" w:cs="Calibri"/>
                <w:color w:val="000000"/>
                <w:position w:val="-3"/>
                <w:sz w:val="22"/>
                <w:szCs w:val="22"/>
              </w:rPr>
              <w:t xml:space="preserve"> Murrill, </w:t>
            </w:r>
            <w:r>
              <w:rPr>
                <w:rFonts w:ascii="Calibri" w:hAnsi="Calibri" w:eastAsia="Calibri" w:cs="Calibri"/>
                <w:i/>
                <w:iCs/>
                <w:color w:val="000000"/>
                <w:position w:val="-3"/>
                <w:sz w:val="22"/>
                <w:szCs w:val="22"/>
              </w:rPr>
              <w:t xml:space="preserve">Fuscoporia weirii</w:t>
            </w:r>
            <w:r>
              <w:rPr>
                <w:rFonts w:ascii="Calibri" w:hAnsi="Calibri" w:eastAsia="Calibri" w:cs="Calibri"/>
                <w:color w:val="000000"/>
                <w:position w:val="-3"/>
                <w:sz w:val="22"/>
                <w:szCs w:val="22"/>
              </w:rPr>
              <w:t xml:space="preserve"> (Murrill) Aoshima, </w:t>
            </w:r>
            <w:r>
              <w:rPr>
                <w:rFonts w:ascii="Calibri" w:hAnsi="Calibri" w:eastAsia="Calibri" w:cs="Calibri"/>
                <w:i/>
                <w:iCs/>
                <w:color w:val="000000"/>
                <w:position w:val="-3"/>
                <w:sz w:val="22"/>
                <w:szCs w:val="22"/>
              </w:rPr>
              <w:t xml:space="preserve">Inonotus weirii</w:t>
            </w:r>
            <w:r>
              <w:rPr>
                <w:rFonts w:ascii="Calibri" w:hAnsi="Calibri" w:eastAsia="Calibri" w:cs="Calibri"/>
                <w:color w:val="000000"/>
                <w:position w:val="-3"/>
                <w:sz w:val="22"/>
                <w:szCs w:val="22"/>
              </w:rPr>
              <w:t xml:space="preserve"> (Murrill) Kotlaba &amp; Pouzar, </w:t>
            </w:r>
            <w:r>
              <w:rPr>
                <w:rFonts w:ascii="Calibri" w:hAnsi="Calibri" w:eastAsia="Calibri" w:cs="Calibri"/>
                <w:i/>
                <w:iCs/>
                <w:color w:val="000000"/>
                <w:position w:val="-3"/>
                <w:sz w:val="22"/>
                <w:szCs w:val="22"/>
              </w:rPr>
              <w:t xml:space="preserve">Phellinidium weirii</w:t>
            </w:r>
            <w:r>
              <w:rPr>
                <w:rFonts w:ascii="Calibri" w:hAnsi="Calibri" w:eastAsia="Calibri" w:cs="Calibri"/>
                <w:color w:val="000000"/>
                <w:position w:val="-3"/>
                <w:sz w:val="22"/>
                <w:szCs w:val="22"/>
              </w:rPr>
              <w:t xml:space="preserve"> (Murrill) Y.C. Dai, </w:t>
            </w:r>
            <w:r>
              <w:rPr>
                <w:rFonts w:ascii="Calibri" w:hAnsi="Calibri" w:eastAsia="Calibri" w:cs="Calibri"/>
                <w:i/>
                <w:iCs/>
                <w:color w:val="000000"/>
                <w:position w:val="-3"/>
                <w:sz w:val="22"/>
                <w:szCs w:val="22"/>
              </w:rPr>
              <w:t xml:space="preserve">Phellinus weirii</w:t>
            </w:r>
            <w:r>
              <w:rPr>
                <w:rFonts w:ascii="Calibri" w:hAnsi="Calibri" w:eastAsia="Calibri" w:cs="Calibri"/>
                <w:color w:val="000000"/>
                <w:position w:val="-3"/>
                <w:sz w:val="22"/>
                <w:szCs w:val="22"/>
              </w:rPr>
              <w:t xml:space="preserve"> (Murrill) Gilbertson, </w:t>
            </w:r>
            <w:r>
              <w:rPr>
                <w:rFonts w:ascii="Calibri" w:hAnsi="Calibri" w:eastAsia="Calibri" w:cs="Calibri"/>
                <w:i/>
                <w:iCs/>
                <w:color w:val="000000"/>
                <w:position w:val="-3"/>
                <w:sz w:val="22"/>
                <w:szCs w:val="22"/>
              </w:rPr>
              <w:t xml:space="preserve">Poria weirii</w:t>
            </w:r>
            <w:r>
              <w:rPr>
                <w:rFonts w:ascii="Calibri" w:hAnsi="Calibri" w:eastAsia="Calibri" w:cs="Calibri"/>
                <w:color w:val="000000"/>
                <w:position w:val="-3"/>
                <w:sz w:val="22"/>
                <w:szCs w:val="22"/>
              </w:rPr>
              <w:t xml:space="preserve"> (Murrill) Murrill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laminated butt rot of conifers, root rot of conifers, yellow ring rot of conifers</w:t>
            </w:r>
            <w:hyperlink r:id="rId6370669eb3843152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634669eb3843159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INONWE</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two species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(Murrill) L.W. Zhou &amp; Y.C. Dai and </w:t>
      </w:r>
      <w:r>
        <w:rPr>
          <w:rFonts w:ascii="Calibri" w:hAnsi="Calibri" w:eastAsia="Calibri" w:cs="Calibri"/>
          <w:i/>
          <w:iCs/>
          <w:color w:val="000000"/>
          <w:sz w:val="22"/>
          <w:szCs w:val="22"/>
        </w:rPr>
        <w:t xml:space="preserve">Coniferiporia sulphurascens</w:t>
      </w:r>
      <w:r>
        <w:rPr>
          <w:rFonts w:ascii="Calibri" w:hAnsi="Calibri" w:eastAsia="Calibri" w:cs="Calibri"/>
          <w:color w:val="000000"/>
          <w:sz w:val="22"/>
          <w:szCs w:val="22"/>
        </w:rPr>
        <w:t xml:space="preserve"> (Pilát) L.W. Zhou &amp; Y.C. Dai had previously been described as two different forms [a cedar form affecting mainly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(often called western red cedar) and a Douglas-fir form affecting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some other conifers] of one species </w:t>
      </w:r>
      <w:r>
        <w:rPr>
          <w:rFonts w:ascii="Calibri" w:hAnsi="Calibri" w:eastAsia="Calibri" w:cs="Calibri"/>
          <w:i/>
          <w:iCs/>
          <w:color w:val="000000"/>
          <w:sz w:val="22"/>
          <w:szCs w:val="22"/>
        </w:rPr>
        <w:t xml:space="preserve">Inonotus weirii </w:t>
      </w:r>
      <w:r>
        <w:rPr>
          <w:rFonts w:ascii="Calibri" w:hAnsi="Calibri" w:eastAsia="Calibri" w:cs="Calibri"/>
          <w:color w:val="000000"/>
          <w:sz w:val="22"/>
          <w:szCs w:val="22"/>
        </w:rPr>
        <w:t xml:space="preserve">(Murrill) Kotlaba &amp; Pouza. These two forms were qualified as distinct species in 2016 based on the phylogenetic analysis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although existence of two separate species had already been suggested in the 1990s based on the enzyme-linked immunosorbent assay (ELISA) tests (Banik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After this phylogenetic analysis of the </w:t>
      </w:r>
      <w:r>
        <w:rPr>
          <w:rFonts w:ascii="Calibri" w:hAnsi="Calibri" w:eastAsia="Calibri" w:cs="Calibri"/>
          <w:i/>
          <w:iCs/>
          <w:color w:val="000000"/>
          <w:sz w:val="22"/>
          <w:szCs w:val="22"/>
        </w:rPr>
        <w:t xml:space="preserve">Phellinidium</w:t>
      </w:r>
      <w:r>
        <w:rPr>
          <w:rFonts w:ascii="Calibri" w:hAnsi="Calibri" w:eastAsia="Calibri" w:cs="Calibri"/>
          <w:color w:val="000000"/>
          <w:sz w:val="22"/>
          <w:szCs w:val="22"/>
        </w:rPr>
        <w:t xml:space="preserve"> genus, these two species were segregated to the genus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(they had previously been included in the genera </w:t>
      </w:r>
      <w:r>
        <w:rPr>
          <w:rFonts w:ascii="Calibri" w:hAnsi="Calibri" w:eastAsia="Calibri" w:cs="Calibri"/>
          <w:i/>
          <w:iCs/>
          <w:color w:val="000000"/>
          <w:sz w:val="22"/>
          <w:szCs w:val="22"/>
        </w:rPr>
        <w:t xml:space="preserve">Inonotus, Phellinus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Phellinidium</w:t>
      </w:r>
      <w:r>
        <w:rPr>
          <w:rFonts w:ascii="Calibri" w:hAnsi="Calibri" w:eastAsia="Calibri" w:cs="Calibri"/>
          <w:color w:val="000000"/>
          <w:sz w:val="22"/>
          <w:szCs w:val="22"/>
        </w:rPr>
        <w:t xml:space="preserve">). The new genus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included three forest pathogens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(Murrill) L.W. Zhou &amp; Y.C. Dai, comb. nov., </w:t>
      </w:r>
      <w:r>
        <w:rPr>
          <w:rFonts w:ascii="Calibri" w:hAnsi="Calibri" w:eastAsia="Calibri" w:cs="Calibri"/>
          <w:i/>
          <w:iCs/>
          <w:color w:val="000000"/>
          <w:sz w:val="22"/>
          <w:szCs w:val="22"/>
        </w:rPr>
        <w:t xml:space="preserve">C. sulphurascens </w:t>
      </w:r>
      <w:r>
        <w:rPr>
          <w:rFonts w:ascii="Calibri" w:hAnsi="Calibri" w:eastAsia="Calibri" w:cs="Calibri"/>
          <w:color w:val="000000"/>
          <w:sz w:val="22"/>
          <w:szCs w:val="22"/>
        </w:rPr>
        <w:t xml:space="preserve">(Pilat) L.W. Zhou &amp; Y.C. Dai, and </w:t>
      </w:r>
      <w:r>
        <w:rPr>
          <w:rFonts w:ascii="Calibri" w:hAnsi="Calibri" w:eastAsia="Calibri" w:cs="Calibri"/>
          <w:i/>
          <w:iCs/>
          <w:color w:val="000000"/>
          <w:sz w:val="22"/>
          <w:szCs w:val="22"/>
        </w:rPr>
        <w:t xml:space="preserve">C. qilianensis </w:t>
      </w:r>
      <w:r>
        <w:rPr>
          <w:rFonts w:ascii="Calibri" w:hAnsi="Calibri" w:eastAsia="Calibri" w:cs="Calibri"/>
          <w:color w:val="000000"/>
          <w:sz w:val="22"/>
          <w:szCs w:val="22"/>
        </w:rPr>
        <w:t xml:space="preserve">B.K. Cui, L.W. Zhou &amp; Y.C. Dai, each having a specific geographical distribution and a strong host specificity as a forest pathogen of coniferous trees (Mao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Wang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(2022) added a fourth new species to this genus, </w:t>
      </w:r>
      <w:r>
        <w:rPr>
          <w:rFonts w:ascii="Calibri" w:hAnsi="Calibri" w:eastAsia="Calibri" w:cs="Calibri"/>
          <w:i/>
          <w:iCs/>
          <w:color w:val="000000"/>
          <w:sz w:val="22"/>
          <w:szCs w:val="22"/>
        </w:rPr>
        <w:t xml:space="preserve">Coniferiporia uzbekistanensis</w:t>
      </w:r>
      <w:r>
        <w:rPr>
          <w:rFonts w:ascii="Calibri" w:hAnsi="Calibri" w:eastAsia="Calibri" w:cs="Calibri"/>
          <w:color w:val="000000"/>
          <w:sz w:val="22"/>
          <w:szCs w:val="22"/>
        </w:rPr>
        <w:t xml:space="preserve"> L.W. Zhou, Xue W. Wang &amp; Gafforov, which is affecting </w:t>
      </w:r>
      <w:r>
        <w:rPr>
          <w:rFonts w:ascii="Calibri" w:hAnsi="Calibri" w:eastAsia="Calibri" w:cs="Calibri"/>
          <w:i/>
          <w:iCs/>
          <w:color w:val="000000"/>
          <w:sz w:val="22"/>
          <w:szCs w:val="22"/>
        </w:rPr>
        <w:t xml:space="preserve">Juniperus polycarpos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seravschanica</w:t>
      </w:r>
      <w:r>
        <w:rPr>
          <w:rFonts w:ascii="Calibri" w:hAnsi="Calibri" w:eastAsia="Calibri" w:cs="Calibri"/>
          <w:color w:val="000000"/>
          <w:sz w:val="22"/>
          <w:szCs w:val="22"/>
        </w:rPr>
        <w:t xml:space="preserve"> and was found in Uzbekistan.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(before it was split into two species) had long been reported as an aggressive forest pathogen mainly of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but also of many other conifers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the analysis of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species diversification in association with both biogeography and host plants resulted in distinction of two clades: one containing only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which infests </w:t>
      </w:r>
      <w:r>
        <w:rPr>
          <w:rFonts w:ascii="Calibri" w:hAnsi="Calibri" w:eastAsia="Calibri" w:cs="Calibri"/>
          <w:i/>
          <w:iCs/>
          <w:color w:val="000000"/>
          <w:sz w:val="22"/>
          <w:szCs w:val="22"/>
        </w:rPr>
        <w:t xml:space="preserve">P. menziesii, 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other conifers; the other comprises </w:t>
      </w:r>
      <w:r>
        <w:rPr>
          <w:rFonts w:ascii="Calibri" w:hAnsi="Calibri" w:eastAsia="Calibri" w:cs="Calibri"/>
          <w:i/>
          <w:iCs/>
          <w:color w:val="000000"/>
          <w:sz w:val="22"/>
          <w:szCs w:val="22"/>
        </w:rPr>
        <w:t xml:space="preserve">C. qilianensis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uzbekistanensis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Regarding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it mainly infests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which are its major hosts (Hagle, 2009), and both of which are naturally distributed in western North America (Mao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fungus was also found on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left"/>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could infect </w:t>
      </w:r>
      <w:r>
        <w:rPr>
          <w:rFonts w:ascii="Calibri" w:hAnsi="Calibri" w:eastAsia="Calibri" w:cs="Calibri"/>
          <w:i/>
          <w:iCs/>
          <w:color w:val="000000"/>
          <w:sz w:val="22"/>
          <w:szCs w:val="22"/>
        </w:rPr>
        <w:t xml:space="preserve">T. plicata, Callitropsis nootkatensis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(urban trees) and, possibly, other conifer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plicata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Each species of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can infest specific coniferous plants and has a specific geographic distribution in the Northern Hemisphere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Four geographic origins (i.e., Eastern Eurasia, Central Asia, western North America, and Eastern Europe) were set according to voucher information of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species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Concerning the identification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the presence of this pathogen was confirmed for specimens from British Columbia (Canada), Idaho, and California (USA) on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Other specimens from Canada, Russia, Japan, China, and the USA (California, Idaho, and Montana) were identified as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Chinese specimens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represent a distinct species that was renamed </w:t>
      </w:r>
      <w:r>
        <w:rPr>
          <w:rFonts w:ascii="Calibri" w:hAnsi="Calibri" w:eastAsia="Calibri" w:cs="Calibri"/>
          <w:i/>
          <w:iCs/>
          <w:color w:val="000000"/>
          <w:sz w:val="22"/>
          <w:szCs w:val="22"/>
        </w:rPr>
        <w:t xml:space="preserve">Coniferiporia qilianense</w:t>
      </w:r>
      <w:r>
        <w:rPr>
          <w:rFonts w:ascii="Calibri" w:hAnsi="Calibri" w:eastAsia="Calibri" w:cs="Calibri"/>
          <w:color w:val="000000"/>
          <w:sz w:val="22"/>
          <w:szCs w:val="22"/>
        </w:rPr>
        <w:t xml:space="preserve">, whereas for Central Asian specimens from Uzbekistan the taxonomic identity was recently clarified, and they were described as </w:t>
      </w:r>
      <w:r>
        <w:rPr>
          <w:rFonts w:ascii="Calibri" w:hAnsi="Calibri" w:eastAsia="Calibri" w:cs="Calibri"/>
          <w:i/>
          <w:iCs/>
          <w:color w:val="000000"/>
          <w:sz w:val="22"/>
          <w:szCs w:val="22"/>
        </w:rPr>
        <w:t xml:space="preserve">C. uzbekistanensis</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geographic distribution of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should be reconsidered because most of observations consist of findings of both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and data are not given specifically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(EFSA 2018).</w:t>
      </w:r>
    </w:p>
    <w:p>
      <w:r>
        <w:drawing>
          <wp:inline distT="0" distB="0" distL="0" distR="0">
            <wp:extent cx="6120000" cy="3067200"/>
            <wp:docPr id="34940483" name="name3186669eb38432e3d" descr="INONW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ONWE_distribution_map.jpg"/>
                    <pic:cNvPicPr/>
                  </pic:nvPicPr>
                  <pic:blipFill>
                    <a:blip r:embed="rId9536669eb38432e3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Idaho,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had previously been described as one species and the latest species segregation took place very recently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Jeger, 2018;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there is limited information regarding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The host ranges of the two pathogens differ and their biology is rather distinctive (Banik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EFSA 2018;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r>
        <w:rPr>
          <w:rFonts w:ascii="Calibri" w:hAnsi="Calibri" w:eastAsia="Calibri" w:cs="Calibri"/>
          <w:i/>
          <w:iCs/>
          <w:color w:val="000000"/>
          <w:sz w:val="22"/>
          <w:szCs w:val="22"/>
        </w:rPr>
        <w:t xml:space="preserve"> C. weirii</w:t>
      </w:r>
      <w:r>
        <w:rPr>
          <w:rFonts w:ascii="Calibri" w:hAnsi="Calibri" w:eastAsia="Calibri" w:cs="Calibri"/>
          <w:color w:val="000000"/>
          <w:sz w:val="22"/>
          <w:szCs w:val="22"/>
        </w:rPr>
        <w:t xml:space="preserve"> occurs in North America and causes laminated root and butt rot mainly in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(Larsen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EFSA 2018;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Decay caused by all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species is considered to be initiated by mycelium from residues of former forest trees because the fungus persists in decaying roots and logs for many years and the pathogen is able to infect healthy trees via contact with roots (Sinclair and Lyon, 2005).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forms thin, resupinate and perennial (2–3 years) basidiocarps (Hagle, 2009), the latter so far being found only on </w:t>
      </w:r>
      <w:r>
        <w:rPr>
          <w:rFonts w:ascii="Calibri" w:hAnsi="Calibri" w:eastAsia="Calibri" w:cs="Calibri"/>
          <w:i/>
          <w:iCs/>
          <w:color w:val="000000"/>
          <w:sz w:val="22"/>
          <w:szCs w:val="22"/>
        </w:rPr>
        <w:t xml:space="preserve">T. plicata </w:t>
      </w:r>
      <w:r>
        <w:rPr>
          <w:rFonts w:ascii="Calibri" w:hAnsi="Calibri" w:eastAsia="Calibri" w:cs="Calibri"/>
          <w:color w:val="000000"/>
          <w:sz w:val="22"/>
          <w:szCs w:val="22"/>
        </w:rPr>
        <w:t xml:space="preserve">(EFSA, 2018). Basidiocarps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form at the base of affected trees, most commonly between buttress roots, however they can occasionally be located up to 6 feet (=183 cm) high (Hagle, 2009). Sporulation occurs in spring and summer (Larsen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1994). Further research is needed on spore infection of wounds (Sinclair and Lyon,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symptoms were described for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so there is a lack of detailed information on symptoms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infection. The fungus can cause laminated root rot in a few conifer species, mainly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Following the first signs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infection (Murill, 1914), infected trees show reduced growth, thin, chlorotic, and asymmetric foliage and sometimes smaller cones than normal. The pathogen usually affects a group of trees in patches that enlarge over several years (Sinclair and Lyon, 2005). Many trees in the adjacent stand will be infected but will not show crown symptoms for some time. Wind-throw of living trees is common, even before crown symptoms are discernible (Murill, 1914; Hagle, 2009). Young, infected trees often die before disease expansion. In advanced stages, the wood breaks down in a yellow, laminated, pitted rot (Murill, 1914). Brown, crust-like basidiocarps with a broad to narrow, white to cream sterile margin may form on the underside of decayed stems and roots (Hagle, 2009;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early stage of decay may be seen as a crescent-shaped/spherical reddish brown to chocolate brown stain in the outer heartwood. Wood in the late stage of decay is yellowish and tends to laminate over the annual ring with many tiny cavities 0.5 x 1.0 mm (Sinclair and Lyon, 2005). Infected trees are frequently attacked by bark beetles and pathogens such as blue-stain fungi or </w:t>
      </w:r>
      <w:r>
        <w:rPr>
          <w:rFonts w:ascii="Calibri" w:hAnsi="Calibri" w:eastAsia="Calibri" w:cs="Calibri"/>
          <w:i/>
          <w:iCs/>
          <w:color w:val="000000"/>
          <w:sz w:val="22"/>
          <w:szCs w:val="22"/>
        </w:rPr>
        <w:t xml:space="preserve">Armillaria</w:t>
      </w:r>
      <w:r>
        <w:rPr>
          <w:rFonts w:ascii="Calibri" w:hAnsi="Calibri" w:eastAsia="Calibri" w:cs="Calibri"/>
          <w:color w:val="000000"/>
          <w:sz w:val="22"/>
          <w:szCs w:val="22"/>
        </w:rPr>
        <w:t xml:space="preserve"> species (Sinclair and Lyon, 2005). Wounds and patches where the bark has detached may provide entry points for spores and may also increase the decay in already infected trees due to increased aeration (Hagle, 2009;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For additional information for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see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Observation with a hand lens will reveal abundant, characteristically long, superficial, reddish brown setal hyphae, 5–10 µm in diameter and up to 3 mm long, with a thickened wall (1.5–2.5 µm) between the sheets of decayed wood. Mycelium lacks clamp connections (Sinclair and Lyon, 2005; EFSA, 2018).</w:t>
      </w:r>
    </w:p>
    <w:p>
      <w:pPr>
        <w:widowControl w:val="on"/>
        <w:pBdr/>
        <w:spacing w:before="220" w:after="220" w:line="240" w:lineRule="auto"/>
        <w:ind w:left="0" w:right="0"/>
        <w:jc w:val="left"/>
      </w:pPr>
      <w:r>
        <w:rPr>
          <w:rFonts w:ascii="Calibri" w:hAnsi="Calibri" w:eastAsia="Calibri" w:cs="Calibri"/>
          <w:color w:val="000000"/>
          <w:sz w:val="22"/>
          <w:szCs w:val="22"/>
        </w:rPr>
        <w:t xml:space="preserve">Basidiospores are globose becoming oblong-ellipsoid, with a small apiculus, smooth and hyaline; 3.7–4.5 x 2.9–3.7 µm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already present, isolated disease foci in extensive forests can be detected by aerial photography (Wallis and Lee, 1984).</w:t>
      </w:r>
    </w:p>
    <w:p>
      <w:pPr>
        <w:widowControl w:val="on"/>
        <w:pBdr/>
        <w:spacing w:before="220" w:after="220" w:line="240" w:lineRule="auto"/>
        <w:ind w:left="0" w:right="0"/>
        <w:jc w:val="left"/>
      </w:pPr>
      <w:r>
        <w:rPr>
          <w:rFonts w:ascii="Calibri" w:hAnsi="Calibri" w:eastAsia="Calibri" w:cs="Calibri"/>
          <w:color w:val="000000"/>
          <w:sz w:val="22"/>
          <w:szCs w:val="22"/>
        </w:rPr>
        <w:t xml:space="preserve">A polymerase chain reaction (PCR) test based on the internal transcribed spacer (ITS) regions can be used to identify species from the </w:t>
      </w:r>
      <w:r>
        <w:rPr>
          <w:rFonts w:ascii="Calibri" w:hAnsi="Calibri" w:eastAsia="Calibri" w:cs="Calibri"/>
          <w:i/>
          <w:iCs/>
          <w:color w:val="000000"/>
          <w:sz w:val="22"/>
          <w:szCs w:val="22"/>
        </w:rPr>
        <w:t xml:space="preserve">C. sulphurascens/weirii</w:t>
      </w:r>
      <w:r>
        <w:rPr>
          <w:rFonts w:ascii="Calibri" w:hAnsi="Calibri" w:eastAsia="Calibri" w:cs="Calibri"/>
          <w:color w:val="000000"/>
          <w:sz w:val="22"/>
          <w:szCs w:val="22"/>
        </w:rPr>
        <w:t xml:space="preserve"> complex. PCR tests with specific primers make it possible to distinguish the different species within the complex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by spores is considered significant only over short distances (Sinclair and Lyon, 2005;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Long-distance movement is possible, most likely by transportation of infected coniferous logs or bark. Spore infection of wounds has not been adequately studied and the role of basidiospores in disease spread has not been confirmed (Sinclair and Lyon, 2005). Nearly all infections in forest stands with trees of the same age are considered to be initiated by mycelium which survived in roots, butts, logs etc. remaining in the forest for decades and which penetrates into new trees through intact or injured bark (Sinclair and Lyon,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causes root and butt rot of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which are widely spread and highly valued species that have economic and cultural significance (McMurtrey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r>
        <w:rPr>
          <w:rFonts w:ascii="Calibri" w:hAnsi="Calibri" w:eastAsia="Calibri" w:cs="Calibri"/>
          <w:i/>
          <w:iCs/>
          <w:color w:val="000000"/>
          <w:sz w:val="22"/>
          <w:szCs w:val="22"/>
        </w:rPr>
        <w:t xml:space="preserve"> C. weirii</w:t>
      </w:r>
      <w:r>
        <w:rPr>
          <w:rFonts w:ascii="Calibri" w:hAnsi="Calibri" w:eastAsia="Calibri" w:cs="Calibri"/>
          <w:color w:val="000000"/>
          <w:sz w:val="22"/>
          <w:szCs w:val="22"/>
        </w:rPr>
        <w:t xml:space="preserve"> causes a heart rot, affecting all infested trees between 6 years and rotation age, causing root decay leading to direct mortality or accelerated wind-throw.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is the most susceptible as a seedling and sapling, then becomes more resistant to root disease infections over time (McMurtrey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rather difficult. Treatment would need to focus on the stumps of harvested trees, where the fungus can persist for decades (Sinclair and Lyon, 2005). These stumps provide one of the main sources of inoculum for the spread of the fungus through root contacts. Therefore, to reduce overall losses from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root rot, foresters need to identify and to remove infested stumps when feasible. Slash burning will not significantly reduce the level of inoculum in the soil. However, planting of resistant and less susceptible species around infected material (inoculum) with a buffer zone planted with a deciduous species can control the disease successfully (Wallis, 1976; Sturrock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posed by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is low (Sturrock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As spores are probably of minor importance in spreading the infection, the disease occurs in patches which originate, for the most part, when healthy roots contact the fungus (mycelium) in roots and stumps of the previous stand (Wallis 1976). The fungus grows for only a short distance through soil; consequently, spread from tree to tree occurs only where a healthy and diseased root touch each other or when they grow in close proximity (Wallis 1976; Sinclair and Lyon, 2005). Within the EPPO region, establishment of the fungus is unlikely but if happens it may lead to economic and ecological losses of </w:t>
      </w:r>
      <w:r>
        <w:rPr>
          <w:rFonts w:ascii="Calibri" w:hAnsi="Calibri" w:eastAsia="Calibri" w:cs="Calibri"/>
          <w:i/>
          <w:iCs/>
          <w:color w:val="000000"/>
          <w:sz w:val="22"/>
          <w:szCs w:val="22"/>
        </w:rPr>
        <w:t xml:space="preserve">Calocedrus decurrens, Callitropsis nootkatensis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which are reported as major hosts in North America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Other conifers, such as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several other conifers in the family Pinaceae are resistant to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but susceptible to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the phytosanitary measures outlined below refer to both </w:t>
      </w:r>
      <w:r>
        <w:rPr>
          <w:rFonts w:ascii="Calibri" w:hAnsi="Calibri" w:eastAsia="Calibri" w:cs="Calibri"/>
          <w:i/>
          <w:iCs/>
          <w:color w:val="000000"/>
          <w:sz w:val="22"/>
          <w:szCs w:val="22"/>
        </w:rPr>
        <w:t xml:space="preserve">C. sulphurascens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because they were proposed before the species was split into new species with different biogeography and hosts.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measures recommended by EPPO are listed in the Standard PM 8/2 (3) Coniferae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(EPPO, 2018). Import of plants for planting (except seeds) and cut branches of Coniferae 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areas (EPPO, 2018). Import of wood of Coniferae (except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Taxus</w:t>
      </w:r>
      <w:r>
        <w:rPr>
          <w:rFonts w:ascii="Calibri" w:hAnsi="Calibri" w:eastAsia="Calibri" w:cs="Calibri"/>
          <w:color w:val="000000"/>
          <w:sz w:val="22"/>
          <w:szCs w:val="22"/>
        </w:rPr>
        <w:t xml:space="preserve">) 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areas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or after heat-treatment according to EPPO Standard PM 10/6 (EPPO, 2009), or after appropriate fumigation, details to be specified on the phytosanitary certificate (EPPO, 2018). Import of isolated bark of Coniferae (except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Taxus</w:t>
      </w:r>
      <w:r>
        <w:rPr>
          <w:rFonts w:ascii="Calibri" w:hAnsi="Calibri" w:eastAsia="Calibri" w:cs="Calibri"/>
          <w:color w:val="000000"/>
          <w:sz w:val="22"/>
          <w:szCs w:val="22"/>
        </w:rPr>
        <w:t xml:space="preserve">) 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or heat-treated to achieve a minimum temperature of 56°C for a minimum duration of 30 continuous minutes throughout the entire profile of each piece of the bark (EPPO, 2018). Cut branches (including cut Christmas trees without roots or soil) of </w:t>
      </w:r>
      <w:r>
        <w:rPr>
          <w:rFonts w:ascii="Calibri" w:hAnsi="Calibri" w:eastAsia="Calibri" w:cs="Calibri"/>
          <w:i/>
          <w:iCs/>
          <w:color w:val="000000"/>
          <w:sz w:val="22"/>
          <w:szCs w:val="22"/>
        </w:rPr>
        <w:t xml:space="preserve">Abies </w:t>
      </w:r>
      <w:r>
        <w:rPr>
          <w:rFonts w:ascii="Calibri" w:hAnsi="Calibri" w:eastAsia="Calibri" w:cs="Calibri"/>
          <w:color w:val="000000"/>
          <w:sz w:val="22"/>
          <w:szCs w:val="22"/>
        </w:rPr>
        <w:t xml:space="preserve">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areas for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(EPPO, 2018). The wood should be inspected for staining and presence of fungal mycelium because roots, wood and stumps infected by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can serve as viable inoculum sources for decades (Sinclair and Lyon, 2005; EFSA, 2018; Leal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Banik MT, Paul JA, Burdsall Jr HH, &amp; Cook ME (1993) Serological differentiation of two forms of </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(4), 605–611. </w:t>
      </w:r>
      <w:hyperlink r:id="rId8683669eb384342f6" w:history="1">
        <w:r>
          <w:rPr>
            <w:rFonts w:ascii="Calibri" w:hAnsi="Calibri" w:eastAsia="Calibri" w:cs="Calibri"/>
            <w:color w:val="0000CC"/>
            <w:sz w:val="22"/>
            <w:szCs w:val="22"/>
            <w:u w:val="single"/>
          </w:rPr>
          <w:t xml:space="preserve">https://doi.org/10.2307/3760507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Dai YC (2004) First report of laminated root rot on </w:t>
      </w:r>
      <w:r>
        <w:rPr>
          <w:rFonts w:ascii="Calibri" w:hAnsi="Calibri" w:eastAsia="Calibri" w:cs="Calibri"/>
          <w:i/>
          <w:iCs/>
          <w:color w:val="000000"/>
          <w:sz w:val="22"/>
          <w:szCs w:val="22"/>
        </w:rPr>
        <w:t xml:space="preserve">Sabina przewalskii</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Phellinus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weirii</w:t>
      </w:r>
      <w:r>
        <w:rPr>
          <w:rFonts w:ascii="Calibri" w:hAnsi="Calibri" w:eastAsia="Calibri" w:cs="Calibri"/>
          <w:color w:val="000000"/>
          <w:sz w:val="22"/>
          <w:szCs w:val="22"/>
        </w:rPr>
        <w:t xml:space="preserve"> sensu stricto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(5), 573–573. </w:t>
      </w:r>
      <w:hyperlink r:id="rId1097669eb384343fc" w:history="1">
        <w:r>
          <w:rPr>
            <w:rFonts w:ascii="Calibri" w:hAnsi="Calibri" w:eastAsia="Calibri" w:cs="Calibri"/>
            <w:color w:val="0000CC"/>
            <w:sz w:val="22"/>
            <w:szCs w:val="22"/>
            <w:u w:val="single"/>
          </w:rPr>
          <w:t xml:space="preserve">https:// doi.org/10.1094/PDIS.2004.88.5.573C</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(2018) Jeger M, Bragard C, Caffier D, Candresse T, Chatzivassiliou E, Dehnen-Schmutz K, Gilioli G, Grégoire J-C, Jaques Miret JA, MacLeod A, Navajas Navarro M, Niere B, Parnell S, Potting R, Rafoss T, Rossi V, Urek G, Van Bruggen A, Van der Werf W, West J, Winter S, Boberg J, Gonthier P &amp; Pautasso M. Pest categorization of </w:t>
      </w:r>
      <w:r>
        <w:rPr>
          <w:rFonts w:ascii="Calibri" w:hAnsi="Calibri" w:eastAsia="Calibri" w:cs="Calibri"/>
          <w:i/>
          <w:iCs/>
          <w:color w:val="000000"/>
          <w:sz w:val="22"/>
          <w:szCs w:val="22"/>
        </w:rPr>
        <w:t xml:space="preserve">Coniferiporia sulphurascens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(6), 5302 </w:t>
      </w:r>
      <w:hyperlink r:id="rId5788669eb384344e2" w:history="1">
        <w:r>
          <w:rPr>
            <w:rFonts w:ascii="Calibri" w:hAnsi="Calibri" w:eastAsia="Calibri" w:cs="Calibri"/>
            <w:color w:val="0000CC"/>
            <w:sz w:val="22"/>
            <w:szCs w:val="22"/>
            <w:u w:val="single"/>
          </w:rPr>
          <w:t xml:space="preserve">https://doi.org/10.2903/j.efsa.2018.5302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Baker R, Gilioli G, Behring C, Candiani D, Gogin A &amp; Tramontini S (2019) Report on the methodology applied by EFSA to provide a quantitative assessment of pest‐related criteria required to rank candidate priority pests as defined by Regulation (EU) 2016/2031.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e05731. </w:t>
      </w:r>
      <w:hyperlink r:id="rId6544669eb38434589" w:history="1">
        <w:r>
          <w:rPr>
            <w:rFonts w:ascii="Calibri" w:hAnsi="Calibri" w:eastAsia="Calibri" w:cs="Calibri"/>
            <w:color w:val="0000CC"/>
            <w:sz w:val="22"/>
            <w:szCs w:val="22"/>
            <w:u w:val="single"/>
          </w:rPr>
          <w:t xml:space="preserve">https://doi.org/10.2903/j.efsa.2019.5731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Phytosanitary Treatments. PM 10/6(1)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31. </w:t>
      </w:r>
      <w:hyperlink r:id="rId4378669eb38434632" w:history="1">
        <w:r>
          <w:rPr>
            <w:rFonts w:ascii="Calibri" w:hAnsi="Calibri" w:eastAsia="Calibri" w:cs="Calibri"/>
            <w:color w:val="0000CC"/>
            <w:sz w:val="22"/>
            <w:szCs w:val="22"/>
            <w:u w:val="single"/>
          </w:rPr>
          <w:t xml:space="preserve">https://doi.org/10.1111/j.1365-2338.2009.02227.x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Commodity-specific phytosanitary measures. PM 8/2(3)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 </w:t>
      </w:r>
      <w:hyperlink r:id="rId6921669eb384346b8" w:history="1">
        <w:r>
          <w:rPr>
            <w:rFonts w:ascii="Calibri" w:hAnsi="Calibri" w:eastAsia="Calibri" w:cs="Calibri"/>
            <w:color w:val="0000CC"/>
            <w:sz w:val="22"/>
            <w:szCs w:val="22"/>
            <w:u w:val="single"/>
          </w:rPr>
          <w:t xml:space="preserve">https://doi.org/10.1111/epp.12503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1/002(30) EPPO A1 and A2 lists of pests recommended for regulation as quarantine pests.  </w:t>
      </w:r>
      <w:hyperlink r:id="rId4184669eb384346ec" w:history="1">
        <w:r>
          <w:rPr>
            <w:rFonts w:ascii="Calibri" w:hAnsi="Calibri" w:eastAsia="Calibri" w:cs="Calibri"/>
            <w:color w:val="0000CC"/>
            <w:sz w:val="22"/>
            <w:szCs w:val="22"/>
            <w:u w:val="single"/>
          </w:rPr>
          <w:t xml:space="preserve">https://gd.eppo.int/standards/PM1/</w:t>
        </w:r>
      </w:hyperlink>
      <w:r>
        <w:rPr>
          <w:rFonts w:ascii="Calibri" w:hAnsi="Calibri" w:eastAsia="Calibri" w:cs="Calibri"/>
          <w:color w:val="000000"/>
          <w:sz w:val="22"/>
          <w:szCs w:val="22"/>
        </w:rPr>
        <w:t xml:space="preserve"> (accessed on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August 2022).</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(2017) ISPM 39. International movement of wood. FAO, IPPC, Rome, 20 pp. </w:t>
      </w:r>
      <w:hyperlink r:id="rId3665669eb38434757" w:history="1">
        <w:r>
          <w:rPr>
            <w:rFonts w:ascii="Calibri" w:hAnsi="Calibri" w:eastAsia="Calibri" w:cs="Calibri"/>
            <w:color w:val="0000CC"/>
            <w:sz w:val="22"/>
            <w:szCs w:val="22"/>
            <w:u w:val="single"/>
          </w:rPr>
          <w:t xml:space="preserve">https://www.fao.org/3/cb2621en/cb2621en.pdf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IPPC, Rome, 24 pp. </w:t>
      </w:r>
      <w:hyperlink r:id="rId2466669eb38434797" w:history="1">
        <w:r>
          <w:rPr>
            <w:rFonts w:ascii="Calibri" w:hAnsi="Calibri" w:eastAsia="Calibri" w:cs="Calibri"/>
            <w:color w:val="0000CC"/>
            <w:sz w:val="22"/>
            <w:szCs w:val="22"/>
            <w:u w:val="single"/>
          </w:rPr>
          <w:t xml:space="preserve">https://www.fao.org/3/mb160e/mb160e.pdf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Jin L, Kamp BJVD, Wilson J &amp; Swan EP (1988) Biodegradation of thujaplicins in living western red cedar.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(6), 784–788. </w:t>
      </w:r>
      <w:hyperlink r:id="rId1612669eb3843480b" w:history="1">
        <w:r>
          <w:rPr>
            <w:rFonts w:ascii="Calibri" w:hAnsi="Calibri" w:eastAsia="Calibri" w:cs="Calibri"/>
            <w:color w:val="0000CC"/>
            <w:sz w:val="22"/>
            <w:szCs w:val="22"/>
            <w:u w:val="single"/>
          </w:rPr>
          <w:t xml:space="preserve">https://doi.org/10.1139/x88-119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Hansen EM, Lewis KJ &amp; Chastagner GA (2018) Compendium of conifer diseases (second edition). St. Paul, MN, APS Press, 184. </w:t>
      </w:r>
      <w:hyperlink r:id="rId2779669eb3843483d" w:history="1">
        <w:r>
          <w:rPr>
            <w:rFonts w:ascii="Calibri" w:hAnsi="Calibri" w:eastAsia="Calibri" w:cs="Calibri"/>
            <w:color w:val="0000CC"/>
            <w:sz w:val="22"/>
            <w:szCs w:val="22"/>
            <w:u w:val="single"/>
          </w:rPr>
          <w:t xml:space="preserve">https://doi.org/10.1094/9780890545980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Harrington CA (2010) Tale of Two Cedars: International Symposium on Western Redcedar and Yellow-Cedar (Vol. 828). DIANE Publishing.</w:t>
      </w:r>
    </w:p>
    <w:p>
      <w:pPr>
        <w:widowControl w:val="on"/>
        <w:pBdr/>
        <w:spacing w:before="220" w:after="220" w:line="240" w:lineRule="auto"/>
        <w:ind w:left="0" w:right="0"/>
        <w:jc w:val="left"/>
      </w:pPr>
      <w:r>
        <w:rPr>
          <w:rFonts w:ascii="Calibri" w:hAnsi="Calibri" w:eastAsia="Calibri" w:cs="Calibri"/>
          <w:color w:val="000000"/>
          <w:sz w:val="22"/>
          <w:szCs w:val="22"/>
        </w:rPr>
        <w:t xml:space="preserve">Hagle SK (2009) Management guide for laminated root rot. Forest Insect and Disease Management Guide for the Northern and Central Rocky Mountains. </w:t>
      </w:r>
      <w:r>
        <w:rPr>
          <w:rFonts w:ascii="Calibri" w:hAnsi="Calibri" w:eastAsia="Calibri" w:cs="Calibri"/>
          <w:i/>
          <w:iCs/>
          <w:color w:val="000000"/>
          <w:sz w:val="22"/>
          <w:szCs w:val="22"/>
        </w:rPr>
        <w:t xml:space="preserve">In cooperation with the Idaho Department of Lands and the Montana Department of Natural Resources and Conservation.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USDA, Forest Service</w:t>
      </w:r>
      <w:r>
        <w:rPr>
          <w:rFonts w:ascii="Calibri" w:hAnsi="Calibri" w:eastAsia="Calibri" w:cs="Calibri"/>
          <w:color w:val="000000"/>
          <w:sz w:val="22"/>
          <w:szCs w:val="22"/>
        </w:rPr>
        <w:t xml:space="preserve">. 20.</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(1971) Diseases of forest and shade trees of the United States. </w:t>
      </w:r>
      <w:r>
        <w:rPr>
          <w:rFonts w:ascii="Calibri" w:hAnsi="Calibri" w:eastAsia="Calibri" w:cs="Calibri"/>
          <w:i/>
          <w:iCs/>
          <w:color w:val="000000"/>
          <w:sz w:val="22"/>
          <w:szCs w:val="22"/>
        </w:rPr>
        <w:t xml:space="preserve">Agriculture Handbook, Forest Service, US Department of Agriculture</w:t>
      </w:r>
      <w:r>
        <w:rPr>
          <w:rFonts w:ascii="Calibri" w:hAnsi="Calibri" w:eastAsia="Calibri" w:cs="Calibri"/>
          <w:color w:val="000000"/>
          <w:sz w:val="22"/>
          <w:szCs w:val="22"/>
        </w:rPr>
        <w:t xml:space="preserve"> No. 386, pp. 20–24, 131–133, 480–495. </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MJ, Lombard FF &amp; Clark JW (1994) </w:t>
      </w:r>
      <w:r>
        <w:rPr>
          <w:rFonts w:ascii="Calibri" w:hAnsi="Calibri" w:eastAsia="Calibri" w:cs="Calibri"/>
          <w:i/>
          <w:iCs/>
          <w:color w:val="000000"/>
          <w:sz w:val="22"/>
          <w:szCs w:val="22"/>
        </w:rPr>
        <w:t xml:space="preserve">Phellinus sulphurascens</w:t>
      </w:r>
      <w:r>
        <w:rPr>
          <w:rFonts w:ascii="Calibri" w:hAnsi="Calibri" w:eastAsia="Calibri" w:cs="Calibri"/>
          <w:color w:val="000000"/>
          <w:sz w:val="22"/>
          <w:szCs w:val="22"/>
        </w:rPr>
        <w:t xml:space="preserve"> and the closely related </w:t>
      </w:r>
      <w:r>
        <w:rPr>
          <w:rFonts w:ascii="Calibri" w:hAnsi="Calibri" w:eastAsia="Calibri" w:cs="Calibri"/>
          <w:i/>
          <w:iCs/>
          <w:color w:val="000000"/>
          <w:sz w:val="22"/>
          <w:szCs w:val="22"/>
        </w:rPr>
        <w:t xml:space="preserve">P. weirii</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(1), 121–130. </w:t>
      </w:r>
      <w:hyperlink r:id="rId6954669eb384349b3" w:history="1">
        <w:r>
          <w:rPr>
            <w:rFonts w:ascii="Calibri" w:hAnsi="Calibri" w:eastAsia="Calibri" w:cs="Calibri"/>
            <w:color w:val="0000CC"/>
            <w:sz w:val="22"/>
            <w:szCs w:val="22"/>
            <w:u w:val="single"/>
          </w:rPr>
          <w:t xml:space="preserve">https://doi.org/10.2307/3760727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Leal I, Bergeron MJ, Feau N, Tsui CKM, Foord B, Pellow K, Hamelin RC &amp; Sturrock RN (2019) Cryptic speciation in western North America and Eastern Eurasia of the pathogens responsible for laminated root rot.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(3), 456–468. </w:t>
      </w:r>
      <w:hyperlink r:id="rId3686669eb38434a31" w:history="1">
        <w:r>
          <w:rPr>
            <w:rFonts w:ascii="Calibri" w:hAnsi="Calibri" w:eastAsia="Calibri" w:cs="Calibri"/>
            <w:color w:val="0000CC"/>
            <w:sz w:val="22"/>
            <w:szCs w:val="22"/>
            <w:u w:val="single"/>
          </w:rPr>
          <w:t xml:space="preserve">https://doi.org/10.1094/PHYTO-12-17-0399-R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McMurtrey S, Alcalá-Briseño RI, Showalter D &amp; LeBoldus JM (2023) Draft genome resource for the forest pathogen </w:t>
      </w:r>
      <w:r>
        <w:rPr>
          <w:rFonts w:ascii="Calibri" w:hAnsi="Calibri" w:eastAsia="Calibri" w:cs="Calibri"/>
          <w:i/>
          <w:iCs/>
          <w:color w:val="000000"/>
          <w:sz w:val="22"/>
          <w:szCs w:val="22"/>
        </w:rPr>
        <w:t xml:space="preserve">Coniferiporia weirii </w:t>
      </w:r>
      <w:r>
        <w:rPr>
          <w:rFonts w:ascii="Calibri" w:hAnsi="Calibri" w:eastAsia="Calibri" w:cs="Calibri"/>
          <w:color w:val="000000"/>
          <w:sz w:val="22"/>
          <w:szCs w:val="22"/>
        </w:rPr>
        <w:t xml:space="preserve">– a pathogen of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(2), 534-537. </w:t>
      </w:r>
      <w:hyperlink r:id="rId2799669eb38434afe" w:history="1">
        <w:r>
          <w:rPr>
            <w:rFonts w:ascii="Calibri" w:hAnsi="Calibri" w:eastAsia="Calibri" w:cs="Calibri"/>
            <w:color w:val="0000CC"/>
            <w:sz w:val="22"/>
            <w:szCs w:val="22"/>
            <w:u w:val="single"/>
          </w:rPr>
          <w:t xml:space="preserve">https://doi.org/10.1094/PDIS-04-22-0917-A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Mao K, Ruhsam M, Ma Y, Graham SW, Liu J, Thomas P,  Milne RI, Hollingsworth PM (2019) A transcriptome-based resolution for a key taxonomic controversy in Cupressaceae. </w:t>
      </w:r>
      <w:r>
        <w:rPr>
          <w:rFonts w:ascii="Calibri" w:hAnsi="Calibri" w:eastAsia="Calibri" w:cs="Calibri"/>
          <w:i/>
          <w:iCs/>
          <w:color w:val="000000"/>
          <w:sz w:val="22"/>
          <w:szCs w:val="22"/>
        </w:rPr>
        <w:t xml:space="preserve">Annals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(1), 153–167. </w:t>
      </w:r>
      <w:hyperlink r:id="rId7290669eb38434b90" w:history="1">
        <w:r>
          <w:rPr>
            <w:rFonts w:ascii="Calibri" w:hAnsi="Calibri" w:eastAsia="Calibri" w:cs="Calibri"/>
            <w:color w:val="0000CC"/>
            <w:sz w:val="22"/>
            <w:szCs w:val="22"/>
            <w:u w:val="single"/>
          </w:rPr>
          <w:t xml:space="preserve">https://doi.org/10.1093/aob/mcy152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Murrill WA (1914) An enemy of the western red cedar.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(2), 93–94.</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Sturrock RN, Pellow KW &amp; Hennon PE (2010) </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and other fungi causing decay in western redcedar and yellow-cedar. A tale of two cedars, 47.302 </w:t>
      </w:r>
      <w:hyperlink r:id="rId5235669eb38434c71" w:history="1">
        <w:r>
          <w:rPr>
            <w:rFonts w:ascii="Calibri" w:hAnsi="Calibri" w:eastAsia="Calibri" w:cs="Calibri"/>
            <w:color w:val="0000CC"/>
            <w:sz w:val="22"/>
            <w:szCs w:val="22"/>
            <w:u w:val="single"/>
          </w:rPr>
          <w:t xml:space="preserve">https://www.fs.fed.us/pnw/pubs/pnw_gtr828.pdf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Zhou LW, Vlasák J &amp; Dai YC (2016) Taxonomy and phylogeny of </w:t>
      </w:r>
      <w:r>
        <w:rPr>
          <w:rFonts w:ascii="Calibri" w:hAnsi="Calibri" w:eastAsia="Calibri" w:cs="Calibri"/>
          <w:i/>
          <w:iCs/>
          <w:color w:val="000000"/>
          <w:sz w:val="22"/>
          <w:szCs w:val="22"/>
        </w:rPr>
        <w:t xml:space="preserve">Phellinidium</w:t>
      </w:r>
      <w:r>
        <w:rPr>
          <w:rFonts w:ascii="Calibri" w:hAnsi="Calibri" w:eastAsia="Calibri" w:cs="Calibri"/>
          <w:color w:val="000000"/>
          <w:sz w:val="22"/>
          <w:szCs w:val="22"/>
        </w:rPr>
        <w:t xml:space="preserve"> (Hymenochaetales, Basidiomycota): a redefinition and the segregation of </w:t>
      </w:r>
      <w:r>
        <w:rPr>
          <w:rFonts w:ascii="Calibri" w:hAnsi="Calibri" w:eastAsia="Calibri" w:cs="Calibri"/>
          <w:i/>
          <w:iCs/>
          <w:color w:val="000000"/>
          <w:sz w:val="22"/>
          <w:szCs w:val="22"/>
        </w:rPr>
        <w:t xml:space="preserve">Coniferiporia </w:t>
      </w:r>
      <w:r>
        <w:rPr>
          <w:rFonts w:ascii="Calibri" w:hAnsi="Calibri" w:eastAsia="Calibri" w:cs="Calibri"/>
          <w:color w:val="000000"/>
          <w:sz w:val="22"/>
          <w:szCs w:val="22"/>
        </w:rPr>
        <w:t xml:space="preserve">gen. nov. for forest pathogens.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(8), 988–1001. </w:t>
      </w:r>
      <w:hyperlink r:id="rId4622669eb38434d1d" w:history="1">
        <w:r>
          <w:rPr>
            <w:rFonts w:ascii="Calibri" w:hAnsi="Calibri" w:eastAsia="Calibri" w:cs="Calibri"/>
            <w:color w:val="0000CC"/>
            <w:sz w:val="22"/>
            <w:szCs w:val="22"/>
            <w:u w:val="single"/>
          </w:rPr>
          <w:t xml:space="preserve">https://doi.org/10.1016/j.funbio.2016.04.008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Wallis GW (1976) </w:t>
      </w:r>
      <w:r>
        <w:rPr>
          <w:rFonts w:ascii="Calibri" w:hAnsi="Calibri" w:eastAsia="Calibri" w:cs="Calibri"/>
          <w:i/>
          <w:iCs/>
          <w:color w:val="000000"/>
          <w:sz w:val="22"/>
          <w:szCs w:val="22"/>
        </w:rPr>
        <w:t xml:space="preserve">Phellinus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weirii</w:t>
      </w:r>
      <w:r>
        <w:rPr>
          <w:rFonts w:ascii="Calibri" w:hAnsi="Calibri" w:eastAsia="Calibri" w:cs="Calibri"/>
          <w:color w:val="000000"/>
          <w:sz w:val="22"/>
          <w:szCs w:val="22"/>
        </w:rPr>
        <w:t xml:space="preserve"> root rot. Detection and management proposals in Douglas-fir stands. </w:t>
      </w:r>
      <w:r>
        <w:rPr>
          <w:rFonts w:ascii="Calibri" w:hAnsi="Calibri" w:eastAsia="Calibri" w:cs="Calibri"/>
          <w:i/>
          <w:iCs/>
          <w:color w:val="000000"/>
          <w:sz w:val="22"/>
          <w:szCs w:val="22"/>
        </w:rPr>
        <w:t xml:space="preserve">Technical Report, Forest Service, Canada</w:t>
      </w:r>
      <w:r>
        <w:rPr>
          <w:rFonts w:ascii="Calibri" w:hAnsi="Calibri" w:eastAsia="Calibri" w:cs="Calibri"/>
          <w:color w:val="000000"/>
          <w:sz w:val="22"/>
          <w:szCs w:val="22"/>
        </w:rPr>
        <w:t xml:space="preserve"> No. 12, 16 pp.</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GW &amp; Lee YJ (1984) Detection of root disease in coastal Douglas-fir stands using large scale 70-mm aerial photography.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523–527. </w:t>
      </w:r>
      <w:hyperlink r:id="rId8838669eb38434e3d" w:history="1">
        <w:r>
          <w:rPr>
            <w:rFonts w:ascii="Calibri" w:hAnsi="Calibri" w:eastAsia="Calibri" w:cs="Calibri"/>
            <w:color w:val="0000CC"/>
            <w:sz w:val="22"/>
            <w:szCs w:val="22"/>
            <w:u w:val="single"/>
          </w:rPr>
          <w:t xml:space="preserve">https://doi.org/10.1139/x84-09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X W, Jiang JH, Liu SL Gafforov Y &amp; Zhou LW (2022) Species diversification of the coniferous pathogenic fungal genus </w:t>
      </w:r>
      <w:r>
        <w:rPr>
          <w:rFonts w:ascii="Calibri" w:hAnsi="Calibri" w:eastAsia="Calibri" w:cs="Calibri"/>
          <w:i/>
          <w:iCs/>
          <w:color w:val="000000"/>
          <w:sz w:val="22"/>
          <w:szCs w:val="22"/>
        </w:rPr>
        <w:t xml:space="preserve">Coniferiporia </w:t>
      </w:r>
      <w:r>
        <w:rPr>
          <w:rFonts w:ascii="Calibri" w:hAnsi="Calibri" w:eastAsia="Calibri" w:cs="Calibri"/>
          <w:color w:val="000000"/>
          <w:sz w:val="22"/>
          <w:szCs w:val="22"/>
        </w:rPr>
        <w:t xml:space="preserve">(Hymenochaetales, Basidiomycota) in association with its biogeography and host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(2), 404–413. </w:t>
      </w:r>
      <w:hyperlink r:id="rId1863669eb38434ed0" w:history="1">
        <w:r>
          <w:rPr>
            <w:rFonts w:ascii="Calibri" w:hAnsi="Calibri" w:eastAsia="Calibri" w:cs="Calibri"/>
            <w:color w:val="0000CC"/>
            <w:sz w:val="22"/>
            <w:szCs w:val="22"/>
            <w:u w:val="single"/>
          </w:rPr>
          <w:t xml:space="preserve">https://doi.org/10.1094/PHYTO-05-21-0181-R</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EPPO datasheets on pests recommended for regulation. Available online. </w:t>
      </w:r>
      <w:hyperlink r:id="rId2277669eb38434f8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Datasheets on quarantine organisms No.19, </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83-87. </w:t>
      </w:r>
      <w:hyperlink r:id="rId2170669eb38435121" w:history="1">
        <w:r>
          <w:rPr>
            <w:rFonts w:ascii="Calibri" w:hAnsi="Calibri" w:eastAsia="Calibri" w:cs="Calibri"/>
            <w:color w:val="0000CC"/>
            <w:sz w:val="22"/>
            <w:szCs w:val="22"/>
            <w:u w:val="single"/>
          </w:rPr>
          <w:t xml:space="preserve">https://doi.org/10.1111/j.1365-2338.1979.tb02454.x</w:t>
        </w:r>
      </w:hyperlink>
      <w:r>
        <w:rPr>
          <w:rFonts w:ascii="Calibri" w:hAnsi="Calibri" w:eastAsia="Calibri" w:cs="Calibri"/>
          <w:color w:val="000000"/>
          <w:sz w:val="22"/>
          <w:szCs w:val="22"/>
        </w:rPr>
        <w:t xml:space="preserve"> </w:t>
      </w:r>
    </w:p>
    <w:p>
      <w:r>
        <w:drawing>
          <wp:inline distT="0" distB="0" distL="0" distR="0">
            <wp:extent cx="1800000" cy="604800"/>
            <wp:docPr id="52402197" name="name7323669eb3843519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031669eb3843519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995127">
    <w:multiLevelType w:val="hybridMultilevel"/>
    <w:lvl w:ilvl="0" w:tplc="34078620">
      <w:start w:val="1"/>
      <w:numFmt w:val="decimal"/>
      <w:lvlText w:val="%1."/>
      <w:lvlJc w:val="left"/>
      <w:pPr>
        <w:ind w:left="720" w:hanging="360"/>
      </w:pPr>
    </w:lvl>
    <w:lvl w:ilvl="1" w:tplc="34078620" w:tentative="1">
      <w:start w:val="1"/>
      <w:numFmt w:val="lowerLetter"/>
      <w:lvlText w:val="%2."/>
      <w:lvlJc w:val="left"/>
      <w:pPr>
        <w:ind w:left="1440" w:hanging="360"/>
      </w:pPr>
    </w:lvl>
    <w:lvl w:ilvl="2" w:tplc="34078620" w:tentative="1">
      <w:start w:val="1"/>
      <w:numFmt w:val="lowerRoman"/>
      <w:lvlText w:val="%3."/>
      <w:lvlJc w:val="right"/>
      <w:pPr>
        <w:ind w:left="2160" w:hanging="180"/>
      </w:pPr>
    </w:lvl>
    <w:lvl w:ilvl="3" w:tplc="34078620" w:tentative="1">
      <w:start w:val="1"/>
      <w:numFmt w:val="decimal"/>
      <w:lvlText w:val="%4."/>
      <w:lvlJc w:val="left"/>
      <w:pPr>
        <w:ind w:left="2880" w:hanging="360"/>
      </w:pPr>
    </w:lvl>
    <w:lvl w:ilvl="4" w:tplc="34078620" w:tentative="1">
      <w:start w:val="1"/>
      <w:numFmt w:val="lowerLetter"/>
      <w:lvlText w:val="%5."/>
      <w:lvlJc w:val="left"/>
      <w:pPr>
        <w:ind w:left="3600" w:hanging="360"/>
      </w:pPr>
    </w:lvl>
    <w:lvl w:ilvl="5" w:tplc="34078620" w:tentative="1">
      <w:start w:val="1"/>
      <w:numFmt w:val="lowerRoman"/>
      <w:lvlText w:val="%6."/>
      <w:lvlJc w:val="right"/>
      <w:pPr>
        <w:ind w:left="4320" w:hanging="180"/>
      </w:pPr>
    </w:lvl>
    <w:lvl w:ilvl="6" w:tplc="34078620" w:tentative="1">
      <w:start w:val="1"/>
      <w:numFmt w:val="decimal"/>
      <w:lvlText w:val="%7."/>
      <w:lvlJc w:val="left"/>
      <w:pPr>
        <w:ind w:left="5040" w:hanging="360"/>
      </w:pPr>
    </w:lvl>
    <w:lvl w:ilvl="7" w:tplc="34078620" w:tentative="1">
      <w:start w:val="1"/>
      <w:numFmt w:val="lowerLetter"/>
      <w:lvlText w:val="%8."/>
      <w:lvlJc w:val="left"/>
      <w:pPr>
        <w:ind w:left="5760" w:hanging="360"/>
      </w:pPr>
    </w:lvl>
    <w:lvl w:ilvl="8" w:tplc="34078620" w:tentative="1">
      <w:start w:val="1"/>
      <w:numFmt w:val="lowerRoman"/>
      <w:lvlText w:val="%9."/>
      <w:lvlJc w:val="right"/>
      <w:pPr>
        <w:ind w:left="6480" w:hanging="180"/>
      </w:pPr>
    </w:lvl>
  </w:abstractNum>
  <w:abstractNum w:abstractNumId="54995126">
    <w:multiLevelType w:val="hybridMultilevel"/>
    <w:lvl w:ilvl="0" w:tplc="761207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995126">
    <w:abstractNumId w:val="54995126"/>
  </w:num>
  <w:num w:numId="54995127">
    <w:abstractNumId w:val="549951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9144755" Type="http://schemas.microsoft.com/office/2011/relationships/commentsExtended" Target="commentsExtended.xml"/><Relationship Id="rId142429437" Type="http://schemas.microsoft.com/office/2011/relationships/people" Target="people.xml"/><Relationship Id="rId6370669eb3843152a" Type="http://schemas.openxmlformats.org/officeDocument/2006/relationships/hyperlink" Target="https://gd.eppo.int/taxon/INONWE/" TargetMode="External"/><Relationship Id="rId5634669eb38431596" Type="http://schemas.openxmlformats.org/officeDocument/2006/relationships/hyperlink" Target="https://gd.eppo.int/taxon/INONWE/categorization" TargetMode="External"/><Relationship Id="rId8683669eb384342f6" Type="http://schemas.openxmlformats.org/officeDocument/2006/relationships/hyperlink" Target="https://doi.org/10.2307/3760507" TargetMode="External"/><Relationship Id="rId1097669eb384343fc" Type="http://schemas.openxmlformats.org/officeDocument/2006/relationships/hyperlink" Target="https://%20doi.org/10.1094/PDIS.2004.88.5.573C" TargetMode="External"/><Relationship Id="rId5788669eb384344e2" Type="http://schemas.openxmlformats.org/officeDocument/2006/relationships/hyperlink" Target="https://doi.org/10.2903/j.efsa.2018.5302" TargetMode="External"/><Relationship Id="rId6544669eb38434589" Type="http://schemas.openxmlformats.org/officeDocument/2006/relationships/hyperlink" Target="https://doi.org/10.2903/j.efsa.2019.5731" TargetMode="External"/><Relationship Id="rId4378669eb38434632" Type="http://schemas.openxmlformats.org/officeDocument/2006/relationships/hyperlink" Target="https://doi.org/10.1111/j.1365-2338.2009.02227.x" TargetMode="External"/><Relationship Id="rId6921669eb384346b8" Type="http://schemas.openxmlformats.org/officeDocument/2006/relationships/hyperlink" Target="https://doi.org/10.1111/epp.12503" TargetMode="External"/><Relationship Id="rId4184669eb384346ec" Type="http://schemas.openxmlformats.org/officeDocument/2006/relationships/hyperlink" Target="https://gd.eppo.int/standards/PM1/" TargetMode="External"/><Relationship Id="rId3665669eb38434757" Type="http://schemas.openxmlformats.org/officeDocument/2006/relationships/hyperlink" Target="https://www.fao.org/3/cb2621en/cb2621en.pdf" TargetMode="External"/><Relationship Id="rId2466669eb38434797" Type="http://schemas.openxmlformats.org/officeDocument/2006/relationships/hyperlink" Target="https://www.fao.org/3/mb160e/mb160e.pdf" TargetMode="External"/><Relationship Id="rId1612669eb3843480b" Type="http://schemas.openxmlformats.org/officeDocument/2006/relationships/hyperlink" Target="https://doi.org/10.1139/x88-119" TargetMode="External"/><Relationship Id="rId2779669eb3843483d" Type="http://schemas.openxmlformats.org/officeDocument/2006/relationships/hyperlink" Target="https://doi.org/10.1094/9780890545980" TargetMode="External"/><Relationship Id="rId6954669eb384349b3" Type="http://schemas.openxmlformats.org/officeDocument/2006/relationships/hyperlink" Target="https://doi.org/10.2307/3760727" TargetMode="External"/><Relationship Id="rId3686669eb38434a31" Type="http://schemas.openxmlformats.org/officeDocument/2006/relationships/hyperlink" Target="https://doi.org/10.1094/PHYTO-12-17-0399-R" TargetMode="External"/><Relationship Id="rId2799669eb38434afe" Type="http://schemas.openxmlformats.org/officeDocument/2006/relationships/hyperlink" Target="https://doi.org/10.1094/PDIS-04-22-0917-A" TargetMode="External"/><Relationship Id="rId7290669eb38434b90" Type="http://schemas.openxmlformats.org/officeDocument/2006/relationships/hyperlink" Target="https://doi.org/10.1093/aob/mcy152" TargetMode="External"/><Relationship Id="rId5235669eb38434c71" Type="http://schemas.openxmlformats.org/officeDocument/2006/relationships/hyperlink" Target="https://www.fs.fed.us/pnw/pubs/pnw_gtr828.pdf" TargetMode="External"/><Relationship Id="rId4622669eb38434d1d" Type="http://schemas.openxmlformats.org/officeDocument/2006/relationships/hyperlink" Target="https://doi.org/10.1016/j.funbio.2016.04.008" TargetMode="External"/><Relationship Id="rId8838669eb38434e3d" Type="http://schemas.openxmlformats.org/officeDocument/2006/relationships/hyperlink" Target="https://doi.org/10.1139/x84-09" TargetMode="External"/><Relationship Id="rId1863669eb38434ed0" Type="http://schemas.openxmlformats.org/officeDocument/2006/relationships/hyperlink" Target="https://doi.org/10.1094/PHYTO-05-21-0181-R" TargetMode="External"/><Relationship Id="rId2277669eb38434f8c" Type="http://schemas.openxmlformats.org/officeDocument/2006/relationships/hyperlink" Target="https://gd.eppo.int" TargetMode="External"/><Relationship Id="rId2170669eb38435121" Type="http://schemas.openxmlformats.org/officeDocument/2006/relationships/hyperlink" Target="https://doi.org/10.1111/j.1365-2338.1979.tb02454.x" TargetMode="External"/><Relationship Id="rId9536669eb38432e38" Type="http://schemas.openxmlformats.org/officeDocument/2006/relationships/image" Target="media/imgrId9536669eb38432e38.jpg"/><Relationship Id="rId5031669eb3843519a" Type="http://schemas.openxmlformats.org/officeDocument/2006/relationships/image" Target="media/imgrId5031669eb3843519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