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amitinus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amitinus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amitinus montanus</w:t>
            </w:r>
            <w:r>
              <w:rPr>
                <w:rFonts w:ascii="Calibri" w:hAnsi="Calibri" w:eastAsia="Calibri" w:cs="Calibri"/>
                <w:color w:val="000000"/>
                <w:position w:val="-3"/>
                <w:sz w:val="22"/>
                <w:szCs w:val="22"/>
              </w:rPr>
              <w:t xml:space="preserve"> Fuchs, </w:t>
            </w:r>
            <w:r>
              <w:rPr>
                <w:rFonts w:ascii="Calibri" w:hAnsi="Calibri" w:eastAsia="Calibri" w:cs="Calibri"/>
                <w:i/>
                <w:iCs/>
                <w:color w:val="000000"/>
                <w:position w:val="-3"/>
                <w:sz w:val="22"/>
                <w:szCs w:val="22"/>
              </w:rPr>
              <w:t xml:space="preserve">Ips helveticus</w:t>
            </w:r>
            <w:r>
              <w:rPr>
                <w:rFonts w:ascii="Calibri" w:hAnsi="Calibri" w:eastAsia="Calibri" w:cs="Calibri"/>
                <w:color w:val="000000"/>
                <w:position w:val="-3"/>
                <w:sz w:val="22"/>
                <w:szCs w:val="22"/>
              </w:rPr>
              <w:t xml:space="preserve"> Schedl, </w:t>
            </w:r>
            <w:r>
              <w:rPr>
                <w:rFonts w:ascii="Calibri" w:hAnsi="Calibri" w:eastAsia="Calibri" w:cs="Calibri"/>
                <w:i/>
                <w:iCs/>
                <w:color w:val="000000"/>
                <w:position w:val="-3"/>
                <w:sz w:val="22"/>
                <w:szCs w:val="22"/>
              </w:rPr>
              <w:t xml:space="preserve">Tomicus amitinus</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eight-toothed spruce bark beetle, small spruce bark beetle</w:t>
            </w:r>
            <w:hyperlink r:id="rId630567a56274128a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723067a562741295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879360" name="name981967a5627413143" descr="16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37.jpg"/>
                          <pic:cNvPicPr/>
                        </pic:nvPicPr>
                        <pic:blipFill>
                          <a:blip r:embed="rId111567a5627413140" cstate="print"/>
                          <a:stretch>
                            <a:fillRect/>
                          </a:stretch>
                        </pic:blipFill>
                        <pic:spPr>
                          <a:xfrm>
                            <a:off x="0" y="0"/>
                            <a:ext cx="2160000" cy="1281600"/>
                          </a:xfrm>
                          <a:prstGeom prst="rect">
                            <a:avLst/>
                          </a:prstGeom>
                          <a:ln w="0">
                            <a:noFill/>
                          </a:ln>
                        </pic:spPr>
                      </pic:pic>
                    </a:graphicData>
                  </a:graphic>
                </wp:inline>
              </w:drawing>
            </w:r>
            <w:hyperlink r:id="rId639767a562741329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are the main hosts in the northern parts of Europe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is strongly preferred; Witrylak, 2008). Other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may also serve as important hosts. Galleries have also been recorded on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peuce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widely distributed in Western and Central Europe and currently expanding its range northward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2019, its first outbreak was recorded in Western Siberia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89492477" name="name561267a562741436c" descr="IPSX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AM_distribution_map.jpg"/>
                    <pic:cNvPicPr/>
                  </pic:nvPicPr>
                  <pic:blipFill>
                    <a:blip r:embed="rId868167a562741436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Bosnia and Herzegovina, Bulgaria, Croatia, Czech Republic, Denmark, Estonia, Finland, France (mainland), Germany, Hungary, Italy (mainland), Latvia, Lithuania, Montenegro, North Macedonia, Poland, Romania, Russia (Central Russia, Northern Russia, Western Siberia), Serbia, Slovakia, Slovenia, Sweden, Switzerland, Tunisia,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Europe, the flight starts in May-June. Males initiate galleries in weak or dying trees or in wind-felled trees and produce a pheromone consisting of ipsenol, ipsdienol and trans-2-methyl-6-methylene-3,7-octadien-2-ol (amitinol) (Francke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In most areas populations are univoltine. The new generation emerges and lay eggs in June-August depending on latitude and altitude. Sister broods may occur (that is, when parent beetles leave the tree after having successfully reproduced and form galleries, and lay new portion of eggs under the bark of another tree). A second generation can develop in lowland areas. Beetles hibernate in the decaying vegetation on the forest floor (the 'duff' layer).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prefers trees with minimal shading or in direct sunlight with the following characteristics: over 40 years old, 21-30 cm diameter at breast height-, ≥15 m in height (Witrylak, 2008). The species readily infests trees which have been damaged or overturned by wind and/or snow as well as trees felled some time ago or standing dying trees which have been attacked by </w:t>
      </w:r>
      <w:r>
        <w:rPr>
          <w:rFonts w:ascii="Calibri" w:hAnsi="Calibri" w:eastAsia="Calibri" w:cs="Calibri"/>
          <w:i/>
          <w:iCs/>
          <w:color w:val="000000"/>
          <w:sz w:val="22"/>
          <w:szCs w:val="22"/>
        </w:rPr>
        <w:t xml:space="preserve">Armillaria</w:t>
      </w:r>
      <w:r>
        <w:rPr>
          <w:rFonts w:ascii="Calibri" w:hAnsi="Calibri" w:eastAsia="Calibri" w:cs="Calibri"/>
          <w:color w:val="000000"/>
          <w:sz w:val="22"/>
          <w:szCs w:val="22"/>
        </w:rPr>
        <w:t xml:space="preserve"> root rot (Witrylak, 2008).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 polygamous species, and therefore the male attracts more than one female. It is noted that a complex of pathogenic ophiostomoid fungi (including </w:t>
      </w:r>
      <w:r>
        <w:rPr>
          <w:rFonts w:ascii="Calibri" w:hAnsi="Calibri" w:eastAsia="Calibri" w:cs="Calibri"/>
          <w:i/>
          <w:iCs/>
          <w:color w:val="000000"/>
          <w:sz w:val="22"/>
          <w:szCs w:val="22"/>
        </w:rPr>
        <w:t xml:space="preserve">Endoconidiophora polonica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Graphium ﬁmbriisporum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brunneo-ciliatum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 penicillatum</w:t>
      </w:r>
      <w:r>
        <w:rPr>
          <w:rFonts w:ascii="Calibri" w:hAnsi="Calibri" w:eastAsia="Calibri" w:cs="Calibri"/>
          <w:color w:val="000000"/>
          <w:sz w:val="22"/>
          <w:szCs w:val="22"/>
        </w:rPr>
        <w:t xml:space="preserve"> among others) is associated with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(Kirisits, 2004; Repe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2018;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prefers to breed in smaller-sized material, often in the upper part of weakened trees or trees infested and killed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Pityogenes chalcographus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Pityophthorus pityographus</w:t>
      </w:r>
      <w:r>
        <w:rPr>
          <w:rFonts w:ascii="Calibri" w:hAnsi="Calibri" w:eastAsia="Calibri" w:cs="Calibri"/>
          <w:color w:val="000000"/>
          <w:sz w:val="22"/>
          <w:szCs w:val="22"/>
        </w:rPr>
        <w:t xml:space="preserve"> (Ratz.), or </w:t>
      </w:r>
      <w:r>
        <w:rPr>
          <w:rFonts w:ascii="Calibri" w:hAnsi="Calibri" w:eastAsia="Calibri" w:cs="Calibri"/>
          <w:i/>
          <w:iCs/>
          <w:color w:val="000000"/>
          <w:sz w:val="22"/>
          <w:szCs w:val="22"/>
        </w:rPr>
        <w:t xml:space="preserve">Polygraphus polygraphus</w:t>
      </w:r>
      <w:r>
        <w:rPr>
          <w:rFonts w:ascii="Calibri" w:hAnsi="Calibri" w:eastAsia="Calibri" w:cs="Calibri"/>
          <w:color w:val="000000"/>
          <w:sz w:val="22"/>
          <w:szCs w:val="22"/>
        </w:rPr>
        <w:t xml:space="preserve"> (L.) (EPPO/CABI, 1996; Witrylak, 2008). Galleries are formed by the beetles beneath the bark of the attacked tree. There are three to five (seldom up to seven) females in a family gallery. Females construct their own female-galleries or egg-galleries (as branches starting from the nuptial chamber) as a star shape spreading out from the central nuptial chamber (whereas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makes only two or three galleries). The arms tend to bend and become longitudinal, running in opposite directions (Chararas, 1962). Brood (=larval) galleries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were found in stem sections 2-27 cm in diameter, but sections 8-15 cm in diameter were most frequently colonized by this species. Sections with the 2-3 mm thick bark were preferred (Witrylak,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Beetles are dark-brown and 3.5-5.0 mm long. The elytral declivity has four spines at each side, the third is the largest and distinctly capitate. The declivity is shiny, with distinct punctures (Balachowsky, 1949; Grüne, 1979; IPPC, 2018;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In the field, however, flight has only been observed to take place over limited distances and then usually downwind. Beetles have been found in the stomach of trout in lakes 35 km from the nearest spruce forest, which were probably carried by the wind (Nilssen, 1978). Dispersal over longer distances depends on transportation under the bark of different wood commodities and wood packaging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of limited significance as a pest in its own right. Compared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which shares several of the same hosts (EPPO/CABI, 1996), it is hardly mentioned in the scientific literature. However, because </w:t>
      </w:r>
      <w:r>
        <w:rPr>
          <w:rFonts w:ascii="Calibri" w:hAnsi="Calibri" w:eastAsia="Calibri" w:cs="Calibri"/>
          <w:i/>
          <w:iCs/>
          <w:color w:val="000000"/>
          <w:sz w:val="22"/>
          <w:szCs w:val="22"/>
        </w:rPr>
        <w:t xml:space="preserve">I. amitinus </w:t>
      </w:r>
      <w:r>
        <w:rPr>
          <w:rFonts w:ascii="Calibri" w:hAnsi="Calibri" w:eastAsia="Calibri" w:cs="Calibri"/>
          <w:color w:val="000000"/>
          <w:sz w:val="22"/>
          <w:szCs w:val="22"/>
        </w:rPr>
        <w:t xml:space="preserve">is often present together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may contribute to the killing of trees during outbreaks of </w:t>
      </w:r>
      <w:r>
        <w:rPr>
          <w:rFonts w:ascii="Calibri" w:hAnsi="Calibri" w:eastAsia="Calibri" w:cs="Calibri"/>
          <w:i/>
          <w:iCs/>
          <w:color w:val="000000"/>
          <w:sz w:val="22"/>
          <w:szCs w:val="22"/>
        </w:rPr>
        <w:t xml:space="preserve">I. typographus </w:t>
      </w:r>
      <w:r>
        <w:rPr>
          <w:rFonts w:ascii="Calibri" w:hAnsi="Calibri" w:eastAsia="Calibri" w:cs="Calibri"/>
          <w:color w:val="000000"/>
          <w:sz w:val="22"/>
          <w:szCs w:val="22"/>
        </w:rPr>
        <w:t xml:space="preserve">or coincided outbreaks of both species. In 2019, an outbreak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(which started in 2017or 2018) was reported in Western Siberia (far from its natural range) where this species caused serious damage and finally killed stands of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within two years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are suggested as a control tool against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(Witrylak, 2008). Other control measures have not been reported as being used against this species. It should be kept in mind that accumulation of trees that were felled, damaged, or overthrown during winter and early spring, and failing to remove them from the forest before spring flight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can stimulate its intensive infestation because as well as the weakened standing trees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readily infests trees/material lying on the ground (Witrylak,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was the only European</w:t>
      </w:r>
      <w:r>
        <w:rPr>
          <w:rFonts w:ascii="Calibri" w:hAnsi="Calibri" w:eastAsia="Calibri" w:cs="Calibri"/>
          <w:i/>
          <w:iCs/>
          <w:color w:val="000000"/>
          <w:sz w:val="22"/>
          <w:szCs w:val="22"/>
        </w:rPr>
        <w:t xml:space="preserve"> Ips</w:t>
      </w:r>
      <w:r>
        <w:rPr>
          <w:rFonts w:ascii="Calibri" w:hAnsi="Calibri" w:eastAsia="Calibri" w:cs="Calibri"/>
          <w:color w:val="000000"/>
          <w:sz w:val="22"/>
          <w:szCs w:val="22"/>
        </w:rPr>
        <w:t xml:space="preserve"> sp. considered as an A2 pest recommended for regulation as a quarantine pest by EPPO (OEPP/EPPO, 1981), but it was decided in 1996 to delete it from the A2 List, because of its relative unimportance and the fact that too few countries attach any importance to it. It is not a primary pest and is only capable of attacking trees already suffering stress, either environmental or from other pests (usually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should be mentioned, however, that several non-European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are included in the EPPO A1 List of pests recommended for regulation as quarantine pests.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widespread through central Europe where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are present, and northward range expansion to Nordic countries was recently recorded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Heliovaara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attempted to analyse the environmental constraints limiting scolytines in Scandinavia, and concluded that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was slowly spreading in Finland in relation to environmental change. No particular concern has been expressed about any risk arising from this spread. The recent outbreak in Western Siberia damaged valuable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stands. The outbreak was considered to be caused by unintended introduction of the pest with transport or wood materials/commodities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islands of Great Britain and Ireland remain as areas which may face a certain risk from this pest, with respect to recently planted </w:t>
      </w:r>
      <w:r>
        <w:rPr>
          <w:rFonts w:ascii="Calibri" w:hAnsi="Calibri" w:eastAsia="Calibri" w:cs="Calibri"/>
          <w:i/>
          <w:iCs/>
          <w:color w:val="000000"/>
          <w:sz w:val="22"/>
          <w:szCs w:val="22"/>
        </w:rPr>
        <w:t xml:space="preserve">Picea </w:t>
      </w:r>
      <w:r>
        <w:rPr>
          <w:rFonts w:ascii="Calibri" w:hAnsi="Calibri" w:eastAsia="Calibri" w:cs="Calibri"/>
          <w:color w:val="000000"/>
          <w:sz w:val="22"/>
          <w:szCs w:val="22"/>
        </w:rPr>
        <w:t xml:space="preserve">stands.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unlikely to spread there by natural spread, so phytosanitary measures could be justified. However, it should be stressed that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 very much less important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(EPPO/CABI, 1996), and so presents a much lesser risk than that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in which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absent may require phytosanitary measures to be applied to the coniferous commodities imported from the areas where this pest is present. The following phytosanitary measures recommended by the EPPO Standard PM 8/2 (3) Coniferae are considered to be effective against bark beetles including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2008a), or fumigated with appropriate fumigant, or treated with ionizing radiation (EPPO 2008b). Harvesting wood residues, processing wood residues, hogwood and wood chips of the host should be produced from debarked wood or heat-treated. The heat treatment is also required for import of isolated bark. Wood packaging materials should meet requirements of ISPM no. 15 (IPPC,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w:t>
      </w:r>
      <w:r>
        <w:rPr>
          <w:rFonts w:ascii="Calibri" w:hAnsi="Calibri" w:eastAsia="Calibri" w:cs="Calibri"/>
          <w:i/>
          <w:iCs/>
          <w:color w:val="000000"/>
          <w:sz w:val="22"/>
          <w:szCs w:val="22"/>
        </w:rPr>
        <w:t xml:space="preserve">Coleoptera, Scolytides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In </w:t>
      </w:r>
      <w:r>
        <w:rPr>
          <w:rFonts w:ascii="Calibri" w:hAnsi="Calibri" w:eastAsia="Calibri" w:cs="Calibri"/>
          <w:i/>
          <w:iCs/>
          <w:color w:val="000000"/>
          <w:sz w:val="22"/>
          <w:szCs w:val="22"/>
        </w:rPr>
        <w:t xml:space="preserve">Encyclopédie Entomologique</w:t>
      </w:r>
      <w:r>
        <w:rPr>
          <w:rFonts w:ascii="Calibri" w:hAnsi="Calibri" w:eastAsia="Calibri" w:cs="Calibri"/>
          <w:color w:val="000000"/>
          <w:sz w:val="22"/>
          <w:szCs w:val="22"/>
        </w:rPr>
        <w:t xml:space="preserve"> 38. P. Lechevalier,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CIE (1975) </w:t>
      </w:r>
      <w:r>
        <w:rPr>
          <w:rFonts w:ascii="Calibri" w:hAnsi="Calibri" w:eastAsia="Calibri" w:cs="Calibri"/>
          <w:i/>
          <w:iCs/>
          <w:color w:val="000000"/>
          <w:sz w:val="22"/>
          <w:szCs w:val="22"/>
        </w:rPr>
        <w:t xml:space="preserve">Distribution Maps of Pests, Series A</w:t>
      </w:r>
      <w:r>
        <w:rPr>
          <w:rFonts w:ascii="Calibri" w:hAnsi="Calibri" w:eastAsia="Calibri" w:cs="Calibri"/>
          <w:color w:val="000000"/>
          <w:sz w:val="22"/>
          <w:szCs w:val="22"/>
        </w:rPr>
        <w:t xml:space="preserve"> No. 346.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Bulletin OEPP/EPPO Bulletin 48 (3), 463–494 (https://onlinelibrary.wiley.com/doi/epdf/10.1111/epp.12503).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(eds Smith IM, McNamara DG, Scott PR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112,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Francke W, Sauerwein P, Vité, JP, Klimetzek D (1980) The pheromone bouquet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147-148. </w:t>
      </w:r>
      <w:hyperlink r:id="rId656267a562741513c" w:history="1">
        <w:r>
          <w:rPr>
            <w:rFonts w:ascii="Calibri" w:hAnsi="Calibri" w:eastAsia="Calibri" w:cs="Calibri"/>
            <w:color w:val="0000CC"/>
            <w:sz w:val="22"/>
            <w:szCs w:val="22"/>
            <w:u w:val="single"/>
          </w:rPr>
          <w:t xml:space="preserve">https://doi.org/10.1007/BF01073623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w:t>
      </w:r>
      <w:r>
        <w:rPr>
          <w:rFonts w:ascii="Calibri" w:hAnsi="Calibri" w:eastAsia="Calibri" w:cs="Calibri"/>
          <w:i/>
          <w:iCs/>
          <w:color w:val="000000"/>
          <w:sz w:val="22"/>
          <w:szCs w:val="22"/>
        </w:rPr>
        <w:t xml:space="preserve">Brief illustrated key to European bark beetles</w:t>
      </w:r>
      <w:r>
        <w:rPr>
          <w:rFonts w:ascii="Calibri" w:hAnsi="Calibri" w:eastAsia="Calibri" w:cs="Calibri"/>
          <w:color w:val="000000"/>
          <w:sz w:val="22"/>
          <w:szCs w:val="22"/>
        </w:rPr>
        <w:t xml:space="preserve">. M &amp; H Schaper, Hannover (DE).</w:t>
      </w:r>
    </w:p>
    <w:p>
      <w:pPr>
        <w:widowControl w:val="on"/>
        <w:pBdr/>
        <w:spacing w:before="220" w:after="220" w:line="240" w:lineRule="auto"/>
        <w:ind w:left="0" w:right="0"/>
        <w:jc w:val="left"/>
      </w:pPr>
      <w:r>
        <w:rPr>
          <w:rFonts w:ascii="Calibri" w:hAnsi="Calibri" w:eastAsia="Calibri" w:cs="Calibri"/>
          <w:color w:val="000000"/>
          <w:sz w:val="22"/>
          <w:szCs w:val="22"/>
        </w:rPr>
        <w:t xml:space="preserve">Heliovaara K, Vaisanen R, Immonen A (1991) Quantitative biogeography of bark beetles (Coleoptera, Scolytidae) in northern Europe. </w:t>
      </w:r>
      <w:r>
        <w:rPr>
          <w:rFonts w:ascii="Calibri" w:hAnsi="Calibri" w:eastAsia="Calibri" w:cs="Calibri"/>
          <w:i/>
          <w:iCs/>
          <w:color w:val="000000"/>
          <w:sz w:val="22"/>
          <w:szCs w:val="22"/>
        </w:rPr>
        <w:t xml:space="preserve">Acta Forestalia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219</w:t>
      </w:r>
      <w:r>
        <w:rPr>
          <w:rFonts w:ascii="Calibri" w:hAnsi="Calibri" w:eastAsia="Calibri" w:cs="Calibri"/>
          <w:color w:val="000000"/>
          <w:sz w:val="22"/>
          <w:szCs w:val="22"/>
        </w:rPr>
        <w:t xml:space="preserve">, 1-35. </w:t>
      </w:r>
      <w:hyperlink r:id="rId490767a56274151ed" w:history="1">
        <w:r>
          <w:rPr>
            <w:rFonts w:ascii="Calibri" w:hAnsi="Calibri" w:eastAsia="Calibri" w:cs="Calibri"/>
            <w:color w:val="0000CC"/>
            <w:sz w:val="22"/>
            <w:szCs w:val="22"/>
            <w:u w:val="single"/>
          </w:rPr>
          <w:t xml:space="preserve">https://doi.org/10.14214/aff.7606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27. Diagnostic protocols for regulated pests. DP 27: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(International Plant Protection Convention DP 27-1).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504067a562741525d" w:history="1">
        <w:r>
          <w:rPr>
            <w:rFonts w:ascii="Calibri" w:hAnsi="Calibri" w:eastAsia="Calibri" w:cs="Calibri"/>
            <w:color w:val="0000CC"/>
            <w:sz w:val="22"/>
            <w:szCs w:val="22"/>
            <w:u w:val="single"/>
          </w:rPr>
          <w:t xml:space="preserve">https://www.ippc.int/en/publications/640/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Mandelshtam MY, Krivets SA &amp; Ilinsky YY (2019) Small spruce bark beetle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(Eichhoff, 1872) (Coleoptera, Curculionidae: Scolytinae): a new alien species in West Siberia. </w:t>
      </w:r>
      <w:r>
        <w:rPr>
          <w:rFonts w:ascii="Calibri" w:hAnsi="Calibri" w:eastAsia="Calibri" w:cs="Calibri"/>
          <w:i/>
          <w:iCs/>
          <w:color w:val="000000"/>
          <w:sz w:val="22"/>
          <w:szCs w:val="22"/>
        </w:rPr>
        <w:t xml:space="preserve">Entomological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639-644. </w:t>
      </w:r>
      <w:hyperlink r:id="rId585567a56274152f7" w:history="1">
        <w:r>
          <w:rPr>
            <w:rFonts w:ascii="Calibri" w:hAnsi="Calibri" w:eastAsia="Calibri" w:cs="Calibri"/>
            <w:color w:val="0000CC"/>
            <w:sz w:val="22"/>
            <w:szCs w:val="22"/>
            <w:u w:val="single"/>
          </w:rPr>
          <w:t xml:space="preserve">https://doi.org/10.1134/S0013873819050075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w:t>
      </w:r>
      <w:r>
        <w:rPr>
          <w:rFonts w:ascii="Calibri" w:hAnsi="Calibri" w:eastAsia="Calibri" w:cs="Calibri"/>
          <w:i/>
          <w:iCs/>
          <w:color w:val="000000"/>
          <w:sz w:val="22"/>
          <w:szCs w:val="22"/>
        </w:rPr>
        <w:t xml:space="preserve">Bark and Wood Boring Insects in Living Trees in Europe, A Synthesis</w:t>
      </w:r>
      <w:r>
        <w:rPr>
          <w:rFonts w:ascii="Calibri" w:hAnsi="Calibri" w:eastAsia="Calibri" w:cs="Calibri"/>
          <w:color w:val="000000"/>
          <w:sz w:val="22"/>
          <w:szCs w:val="22"/>
        </w:rPr>
        <w:t xml:space="preserve"> (eds Lieutier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pp. 181-235. Springer, Dordrecht (NL). </w:t>
      </w:r>
      <w:hyperlink r:id="rId857967a5627415367" w:history="1">
        <w:r>
          <w:rPr>
            <w:rFonts w:ascii="Calibri" w:hAnsi="Calibri" w:eastAsia="Calibri" w:cs="Calibri"/>
            <w:color w:val="0000CC"/>
            <w:sz w:val="22"/>
            <w:szCs w:val="22"/>
            <w:u w:val="single"/>
          </w:rPr>
          <w:t xml:space="preserve">https://doi.org/10.1007/978-1-4020-2241-8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Koponen M (1975) Distribution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in Finland in 1950-1973. </w:t>
      </w:r>
      <w:r>
        <w:rPr>
          <w:rFonts w:ascii="Calibri" w:hAnsi="Calibri" w:eastAsia="Calibri" w:cs="Calibri"/>
          <w:i/>
          <w:iCs/>
          <w:color w:val="000000"/>
          <w:sz w:val="22"/>
          <w:szCs w:val="22"/>
        </w:rPr>
        <w:t xml:space="preserve">Annales Entomologici Fennici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Flø D, Schroeder M, Zach P, Cocos D, Martkainen P, Siitonen J, Mandelshtam MY, Musolin DL, Neuvonen S, Vakula J, Nikolov C, Lindelòw A &amp; Voolma K (2019) Range expansion of the small bark beetle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a newcomer in Northern Europe.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286-289. </w:t>
      </w:r>
      <w:hyperlink r:id="rId414667a56274154de" w:history="1">
        <w:r>
          <w:rPr>
            <w:rFonts w:ascii="Calibri" w:hAnsi="Calibri" w:eastAsia="Calibri" w:cs="Calibri"/>
            <w:color w:val="0000CC"/>
            <w:sz w:val="22"/>
            <w:szCs w:val="22"/>
            <w:u w:val="single"/>
          </w:rPr>
          <w:t xml:space="preserve">https://doi.org/10.1111/afe.12331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Repe A, Kirisits T, Piškur B, de Groot M, Kump B &amp; Jurc M (2013) Ophiostomatoid fungi associated with three spruce-infesting bark beetles in Slovenia.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70 </w:t>
      </w:r>
      <w:r>
        <w:rPr>
          <w:rFonts w:ascii="Calibri" w:hAnsi="Calibri" w:eastAsia="Calibri" w:cs="Calibri"/>
          <w:color w:val="000000"/>
          <w:sz w:val="22"/>
          <w:szCs w:val="22"/>
        </w:rPr>
        <w:t xml:space="preserve">(7), 717-727.</w:t>
      </w:r>
    </w:p>
    <w:p>
      <w:pPr>
        <w:widowControl w:val="on"/>
        <w:pBdr/>
        <w:spacing w:before="220" w:after="220" w:line="240" w:lineRule="auto"/>
        <w:ind w:left="0" w:right="0"/>
        <w:jc w:val="left"/>
      </w:pPr>
      <w:r>
        <w:rPr>
          <w:rFonts w:ascii="Calibri" w:hAnsi="Calibri" w:eastAsia="Calibri" w:cs="Calibri"/>
          <w:color w:val="000000"/>
          <w:sz w:val="22"/>
          <w:szCs w:val="22"/>
        </w:rPr>
        <w:t xml:space="preserve">Repe NA, de Groot M, Jurc M (2018) Assemblages of ophiostomatoid fungi vectored by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(Coleoptera: Scolytinae) on Norway spruce depend on colonization time, position on the host tree and development stage. </w:t>
      </w:r>
      <w:r>
        <w:rPr>
          <w:rFonts w:ascii="Calibri" w:hAnsi="Calibri" w:eastAsia="Calibri" w:cs="Calibri"/>
          <w:i/>
          <w:iCs/>
          <w:color w:val="000000"/>
          <w:sz w:val="22"/>
          <w:szCs w:val="22"/>
        </w:rPr>
        <w:t xml:space="preserve">Sumarski List</w:t>
      </w:r>
      <w:r>
        <w:rPr>
          <w:rFonts w:ascii="Calibri" w:hAnsi="Calibri" w:eastAsia="Calibri" w:cs="Calibri"/>
          <w:color w:val="000000"/>
          <w:sz w:val="22"/>
          <w:szCs w:val="22"/>
        </w:rPr>
        <w:t xml:space="preserve"> 3–4(3), 171-178.</w:t>
      </w:r>
    </w:p>
    <w:p>
      <w:pPr>
        <w:widowControl w:val="on"/>
        <w:pBdr/>
        <w:spacing w:before="220" w:after="220" w:line="240" w:lineRule="auto"/>
        <w:ind w:left="0" w:right="0"/>
        <w:jc w:val="left"/>
      </w:pPr>
      <w:r>
        <w:rPr>
          <w:rFonts w:ascii="Calibri" w:hAnsi="Calibri" w:eastAsia="Calibri" w:cs="Calibri"/>
          <w:color w:val="000000"/>
          <w:sz w:val="22"/>
          <w:szCs w:val="22"/>
        </w:rPr>
        <w:t xml:space="preserve">Witrylak W (2008) Studies of the biology, ecology, phenology, and economic importance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(Eichh.) (Col., Scolytidae) in experimental forests of Krynica (Beskid Sadecki, southern Poland). </w:t>
      </w:r>
      <w:r>
        <w:rPr>
          <w:rFonts w:ascii="Calibri" w:hAnsi="Calibri" w:eastAsia="Calibri" w:cs="Calibri"/>
          <w:i/>
          <w:iCs/>
          <w:color w:val="000000"/>
          <w:sz w:val="22"/>
          <w:szCs w:val="22"/>
        </w:rPr>
        <w:t xml:space="preserve">Acta Scientiarum Polonorum Silvarum Colendarum Ratio et Industria Lignaria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75-92.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D.L. Musolin.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EPPO datasheets on pests recommended for regulation. Available online. </w:t>
      </w:r>
      <w:hyperlink r:id="rId997467a56274156c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112,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w:t>
      </w:r>
    </w:p>
    <w:p>
      <w:r>
        <w:drawing>
          <wp:inline distT="0" distB="0" distL="0" distR="0">
            <wp:extent cx="1800000" cy="604800"/>
            <wp:docPr id="54866239" name="name680867a5627415a0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7167a5627415a0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120436">
    <w:multiLevelType w:val="hybridMultilevel"/>
    <w:lvl w:ilvl="0" w:tplc="14859916">
      <w:start w:val="1"/>
      <w:numFmt w:val="decimal"/>
      <w:lvlText w:val="%1."/>
      <w:lvlJc w:val="left"/>
      <w:pPr>
        <w:ind w:left="720" w:hanging="360"/>
      </w:pPr>
    </w:lvl>
    <w:lvl w:ilvl="1" w:tplc="14859916" w:tentative="1">
      <w:start w:val="1"/>
      <w:numFmt w:val="lowerLetter"/>
      <w:lvlText w:val="%2."/>
      <w:lvlJc w:val="left"/>
      <w:pPr>
        <w:ind w:left="1440" w:hanging="360"/>
      </w:pPr>
    </w:lvl>
    <w:lvl w:ilvl="2" w:tplc="14859916" w:tentative="1">
      <w:start w:val="1"/>
      <w:numFmt w:val="lowerRoman"/>
      <w:lvlText w:val="%3."/>
      <w:lvlJc w:val="right"/>
      <w:pPr>
        <w:ind w:left="2160" w:hanging="180"/>
      </w:pPr>
    </w:lvl>
    <w:lvl w:ilvl="3" w:tplc="14859916" w:tentative="1">
      <w:start w:val="1"/>
      <w:numFmt w:val="decimal"/>
      <w:lvlText w:val="%4."/>
      <w:lvlJc w:val="left"/>
      <w:pPr>
        <w:ind w:left="2880" w:hanging="360"/>
      </w:pPr>
    </w:lvl>
    <w:lvl w:ilvl="4" w:tplc="14859916" w:tentative="1">
      <w:start w:val="1"/>
      <w:numFmt w:val="lowerLetter"/>
      <w:lvlText w:val="%5."/>
      <w:lvlJc w:val="left"/>
      <w:pPr>
        <w:ind w:left="3600" w:hanging="360"/>
      </w:pPr>
    </w:lvl>
    <w:lvl w:ilvl="5" w:tplc="14859916" w:tentative="1">
      <w:start w:val="1"/>
      <w:numFmt w:val="lowerRoman"/>
      <w:lvlText w:val="%6."/>
      <w:lvlJc w:val="right"/>
      <w:pPr>
        <w:ind w:left="4320" w:hanging="180"/>
      </w:pPr>
    </w:lvl>
    <w:lvl w:ilvl="6" w:tplc="14859916" w:tentative="1">
      <w:start w:val="1"/>
      <w:numFmt w:val="decimal"/>
      <w:lvlText w:val="%7."/>
      <w:lvlJc w:val="left"/>
      <w:pPr>
        <w:ind w:left="5040" w:hanging="360"/>
      </w:pPr>
    </w:lvl>
    <w:lvl w:ilvl="7" w:tplc="14859916" w:tentative="1">
      <w:start w:val="1"/>
      <w:numFmt w:val="lowerLetter"/>
      <w:lvlText w:val="%8."/>
      <w:lvlJc w:val="left"/>
      <w:pPr>
        <w:ind w:left="5760" w:hanging="360"/>
      </w:pPr>
    </w:lvl>
    <w:lvl w:ilvl="8" w:tplc="14859916" w:tentative="1">
      <w:start w:val="1"/>
      <w:numFmt w:val="lowerRoman"/>
      <w:lvlText w:val="%9."/>
      <w:lvlJc w:val="right"/>
      <w:pPr>
        <w:ind w:left="6480" w:hanging="180"/>
      </w:pPr>
    </w:lvl>
  </w:abstractNum>
  <w:abstractNum w:abstractNumId="43120435">
    <w:multiLevelType w:val="hybridMultilevel"/>
    <w:lvl w:ilvl="0" w:tplc="906405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120435">
    <w:abstractNumId w:val="43120435"/>
  </w:num>
  <w:num w:numId="43120436">
    <w:abstractNumId w:val="431204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6342847" Type="http://schemas.microsoft.com/office/2011/relationships/commentsExtended" Target="commentsExtended.xml"/><Relationship Id="rId343094585" Type="http://schemas.microsoft.com/office/2011/relationships/people" Target="people.xml"/><Relationship Id="rId630567a56274128a0" Type="http://schemas.openxmlformats.org/officeDocument/2006/relationships/hyperlink" Target="https://gd.eppo.int/taxon/IPSXAM/" TargetMode="External"/><Relationship Id="rId723067a562741295a" Type="http://schemas.openxmlformats.org/officeDocument/2006/relationships/hyperlink" Target="https://gd.eppo.int/taxon/IPSXAM/categorization" TargetMode="External"/><Relationship Id="rId639767a5627413294" Type="http://schemas.openxmlformats.org/officeDocument/2006/relationships/hyperlink" Target="https://gd.eppo.int/taxon/IPSXAM/photos" TargetMode="External"/><Relationship Id="rId656267a562741513c" Type="http://schemas.openxmlformats.org/officeDocument/2006/relationships/hyperlink" Target="https://doi.org/10.1007/BF01073623" TargetMode="External"/><Relationship Id="rId490767a56274151ed" Type="http://schemas.openxmlformats.org/officeDocument/2006/relationships/hyperlink" Target="https://doi.org/10.14214/aff.7606" TargetMode="External"/><Relationship Id="rId504067a562741525d" Type="http://schemas.openxmlformats.org/officeDocument/2006/relationships/hyperlink" Target="https://www.ippc.int/en/publications/640/" TargetMode="External"/><Relationship Id="rId585567a56274152f7" Type="http://schemas.openxmlformats.org/officeDocument/2006/relationships/hyperlink" Target="https://doi.org/10.1134/S0013873819050075" TargetMode="External"/><Relationship Id="rId857967a5627415367" Type="http://schemas.openxmlformats.org/officeDocument/2006/relationships/hyperlink" Target="https://doi.org/10.1007/978-1-4020-2241-8" TargetMode="External"/><Relationship Id="rId414667a56274154de" Type="http://schemas.openxmlformats.org/officeDocument/2006/relationships/hyperlink" Target="https://doi.org/10.1111/afe.12331" TargetMode="External"/><Relationship Id="rId997467a56274156c7" Type="http://schemas.openxmlformats.org/officeDocument/2006/relationships/hyperlink" Target="https://gd.eppo.int" TargetMode="External"/><Relationship Id="rId111567a5627413140" Type="http://schemas.openxmlformats.org/officeDocument/2006/relationships/image" Target="media/imgrId111567a5627413140.jpg"/><Relationship Id="rId868167a5627414369" Type="http://schemas.openxmlformats.org/officeDocument/2006/relationships/image" Target="media/imgrId868167a5627414369.jpg"/><Relationship Id="rId567167a5627415a00" Type="http://schemas.openxmlformats.org/officeDocument/2006/relationships/image" Target="media/imgrId567167a5627415a0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