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subelongatus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subelongatus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fallax</w:t>
            </w:r>
            <w:r>
              <w:rPr>
                <w:rFonts w:ascii="Calibri" w:hAnsi="Calibri" w:eastAsia="Calibri" w:cs="Calibri"/>
                <w:color w:val="000000"/>
                <w:position w:val="-3"/>
                <w:sz w:val="22"/>
                <w:szCs w:val="22"/>
              </w:rPr>
              <w:t xml:space="preserve"> Egger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larch bark beetle, oblong bark beetle</w:t>
            </w:r>
            <w:hyperlink r:id="rId954368052a870242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23068052a87024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735132" name="name812568052a8702cc7" descr="12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20.jpg"/>
                          <pic:cNvPicPr/>
                        </pic:nvPicPr>
                        <pic:blipFill>
                          <a:blip r:embed="rId726868052a8702cc5" cstate="print"/>
                          <a:stretch>
                            <a:fillRect/>
                          </a:stretch>
                        </pic:blipFill>
                        <pic:spPr>
                          <a:xfrm>
                            <a:off x="0" y="0"/>
                            <a:ext cx="2160000" cy="1281600"/>
                          </a:xfrm>
                          <a:prstGeom prst="rect">
                            <a:avLst/>
                          </a:prstGeom>
                          <a:ln w="0">
                            <a:noFill/>
                          </a:ln>
                        </pic:spPr>
                      </pic:pic>
                    </a:graphicData>
                  </a:graphic>
                </wp:inline>
              </w:drawing>
            </w:r>
            <w:hyperlink r:id="rId366568052a8702e1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recently,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Motschulsky, 1860 has often been confused with a very close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Heer. It was difficult to differentiate these species based on morphological characteristics and some authors considered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as synonymous with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However, the latest research, based on mitochondrial DNA sequences, established small but clear differences between two species and therefore that they may be considered as separate species: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infesting larch in Europe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infesting larch in Asia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Cognato &amp; Sun, 2007; Cognato,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Therefore, the earlier records of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Asia (e.g. Maslov, 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Pfeffer, 1995; Vorontsov, 1995) are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With respect to the whole Eurasian region,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regarded as presenting distinct phytosanitary risks.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various larch species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but the pest can also attack fir, spruce and pine (Mamaev, 1985). The beetle usually attacks cut logs, storm-damaged or dying trees, but sometimes it attacks standing live, stressed,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olgensis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principis-ruprechtii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a clear morphological distinction between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difficult, it is generally accepted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widespread in Asia and present in the north of the European part of Russia, and that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is present in Europe (EPPO, 2005; 2021; EFSA, 2017;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CABI, 2021;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future, identifying these species will require DNA analysis, especially for beetles from areas where the ranges of these species overlap.</w:t>
      </w:r>
    </w:p>
    <w:p>
      <w:r>
        <w:drawing>
          <wp:inline distT="0" distB="0" distL="0" distR="0">
            <wp:extent cx="6120000" cy="3067200"/>
            <wp:docPr id="34782853" name="name721568052a87044c3" descr="IPSX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FA_distribution_map.jpg"/>
                    <pic:cNvPicPr/>
                  </pic:nvPicPr>
                  <pic:blipFill>
                    <a:blip r:embed="rId981068052a87044c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Heilongjiang, Henan, Hubei, Jilin, Liaoning, Neimenggu, Shaanxi, Shandong, Shanxi, Xinjiang, Yunnan), Japan (Hokkaido, Honshu), Korea, Democratic People's Republic of, Korea, Republic of, Mongolia,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(spring) mass flight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usually occurs from mid-May to the end of June in the southern part of the area of its distribution, when midday temperature reaches 16–20°C, and lasts for 15–17 days. The lower threshold temperature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flight was estimated as 5.97°C, with 42.95 degree-days required for initiation of spring flight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Adults aggregate in response to pheromones (Qiu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1988;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After making galleries and laying eggs, some adults begin a second (‘sister’) flight, forming a ‘sister’ generation (Issaev, 1966; Maslov, 1988). This usually occurs from the end of June to the end of July in the same region and lasts 22–23 days. The adults from the first generation meanwhile continue additional feeding and enter diapause to prepare for overwintering. Sister generations follow in succession. Most adults overwinter in forest litter, whereas pupae, larvae and some adults overwinter under host bark (Schneider, 1977).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 </w:t>
      </w:r>
      <w:r>
        <w:rPr>
          <w:rFonts w:ascii="Calibri" w:hAnsi="Calibri" w:eastAsia="Calibri" w:cs="Calibri"/>
          <w:color w:val="000000"/>
          <w:sz w:val="22"/>
          <w:szCs w:val="22"/>
        </w:rPr>
        <w:t xml:space="preserve">may lay eggs in stressed trees, but more usually in dying trees and cut trunks. The form and the depth of galleries varies greatly depending on the health of the tree. Female galleries, 3.0–3.5 mm wide, are usually 16–18 cm long but may sometimes reach 27 cm. Adults need additional feeding, which usually occurs on the trunk at the region of larval development, but, in the case of shortage of food, may also be on roots and at the zone of thin bark at the top of the trunk and on the branches. These galleries are characterized by high quantities of frass.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characteristic symptoms are: flow of resin coming from the places where attempts have been made to lay eggs, typical gallery system with central chamber and radial larval galleries, sparse crowns of larch trees with partly dead tops and branches. Pest-infested trees often wilt and die.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fact that the early morphological description of eggs, larva, pupa of this species may have belonged to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adults are described below. Since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very closely related species, it is assumed that the morphology of eggs, larva, and pupa will be identical (Kalina, 1969; EPPO, 2021). A brief morphological description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based on records by Сognato (2015) &amp;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4.2-6.5 mm long, 2.6 times longer than wide; pronotum 1.1-1.2 times longer than wide. There are four spines on the elytral declivity.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distinguished from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by the shiny elytral declivity and interstrial punctures of the elytral disk, and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by more densely setose elytral declivity and larger body size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are usually only 3 to 5 mm long). It differs from North American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-feeding species and </w:t>
      </w:r>
      <w:r>
        <w:rPr>
          <w:rFonts w:ascii="Calibri" w:hAnsi="Calibri" w:eastAsia="Calibri" w:cs="Calibri"/>
          <w:i/>
          <w:iCs/>
          <w:color w:val="000000"/>
          <w:sz w:val="22"/>
          <w:szCs w:val="22"/>
        </w:rPr>
        <w:t xml:space="preserve">I. woodi</w:t>
      </w:r>
      <w:r>
        <w:rPr>
          <w:rFonts w:ascii="Calibri" w:hAnsi="Calibri" w:eastAsia="Calibri" w:cs="Calibri"/>
          <w:color w:val="000000"/>
          <w:sz w:val="22"/>
          <w:szCs w:val="22"/>
        </w:rPr>
        <w:t xml:space="preserve"> by the space between the first and second spines, which is less than the length of the first spine (Сognato, 2015;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detected by visual inspection of trees showing signs of damage. During a pest attack, sawdust is ejected from the entrance holes, and when young adults begin to feed on phloem around the passages, the bark can flake off. Pest detection can also be done with pheromone traps. The species can be identified based on morphological parameters, but DNA analysis is necessary to accurately distinguish it from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trees attacked by these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the death of the crown of trees is observed. The sapwood of attacked trees turns blue due to blue stain fungi that beetles carry.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continuously for several hours. In the field, however, flight has only been observed to take place over limited distances and then usually downwind. It was found that some individuals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 can fly up to 45 km, but the distance for most of the beetles was 5 km (Jactel &amp; Gaillard, 1991). </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over longer distances occurs via transportation of the pest under the bark of logs. It is assumed that the distribution area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Asia, but later this species was introduced into the European part of Russia, probably with non-debarked wood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little risk of movement with plants for planting, but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could be carried as contaminating pests on other wood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secondary pest in native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breeding in logs, wind-blown stems and dying trees. Drought conditions may promote pest attack on drought stressed trees. The situation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has a much greater economic impact in Russia because larch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constitutes a much more important element of Siberian forests.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regarded as one of the most serious pests of larch in the Asian part of the EPPO region. The most severe damage is usually observed in larch forests previously attacked by </w:t>
      </w:r>
      <w:r>
        <w:rPr>
          <w:rFonts w:ascii="Calibri" w:hAnsi="Calibri" w:eastAsia="Calibri" w:cs="Calibri"/>
          <w:i/>
          <w:iCs/>
          <w:color w:val="000000"/>
          <w:sz w:val="22"/>
          <w:szCs w:val="22"/>
        </w:rPr>
        <w:t xml:space="preserve">Dendrolimus sibiricus, Dasychira albodentata, Semiothisa continuaria, Xylotrechus altaicus</w:t>
      </w:r>
      <w:r>
        <w:rPr>
          <w:rFonts w:ascii="Calibri" w:hAnsi="Calibri" w:eastAsia="Calibri" w:cs="Calibri"/>
          <w:color w:val="000000"/>
          <w:sz w:val="22"/>
          <w:szCs w:val="22"/>
        </w:rPr>
        <w:t xml:space="preserve"> and other pests, or damaged by forest fires, and is very often followed by outbreaks of other wood borers (scolytids, cerambycids and others), particularly, </w:t>
      </w:r>
      <w:r>
        <w:rPr>
          <w:rFonts w:ascii="Calibri" w:hAnsi="Calibri" w:eastAsia="Calibri" w:cs="Calibri"/>
          <w:i/>
          <w:iCs/>
          <w:color w:val="000000"/>
          <w:sz w:val="22"/>
          <w:szCs w:val="22"/>
        </w:rPr>
        <w:t xml:space="preserve">Scolytus morawitzi, Monochamus sutor, M. impluviatus, Melanophila guttulata</w:t>
      </w:r>
      <w:r>
        <w:rPr>
          <w:rFonts w:ascii="Calibri" w:hAnsi="Calibri" w:eastAsia="Calibri" w:cs="Calibri"/>
          <w:color w:val="000000"/>
          <w:sz w:val="22"/>
          <w:szCs w:val="22"/>
        </w:rPr>
        <w:t xml:space="preserve"> (Issaev, 1966;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Maslov, 1988; Vorontsov, 1995).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may continue to attack the same tree over several years. In particular, larvae sometimes encircle trunks feeding in the phloem, which may lead to the death of the infested tree.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the case of other conifer bark beetles,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 vector of blue-stain and other phytopathogenic fungi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Ceratocystiopsis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 Ophiostoma piceae</w:t>
      </w:r>
      <w:r>
        <w:rPr>
          <w:rFonts w:ascii="Calibri" w:hAnsi="Calibri" w:eastAsia="Calibri" w:cs="Calibri"/>
          <w:color w:val="000000"/>
          <w:sz w:val="22"/>
          <w:szCs w:val="22"/>
        </w:rPr>
        <w:t xml:space="preserve">), which also damage the tree (Redfern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Several fungal species belonging to four genera (</w:t>
      </w:r>
      <w:r>
        <w:rPr>
          <w:rFonts w:ascii="Calibri" w:hAnsi="Calibri" w:eastAsia="Calibri" w:cs="Calibri"/>
          <w:i/>
          <w:iCs/>
          <w:color w:val="000000"/>
          <w:sz w:val="22"/>
          <w:szCs w:val="22"/>
        </w:rPr>
        <w:t xml:space="preserve">Ceratocystiopsis, Endoconidiophora, Leptographium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associated with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have been identified in China on various species of larch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spp.) and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Researchers believe that it is these phytopathogenic fungi that can cause the death of trees.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for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are similar to those used for the control of other bark beetle species. The most effective measure is the sanitation felling of infested standing trees, as well as the harvesting of diseased and windthrown trees (to remove pest breeding substrates). These measures prevent the emergence of a new generation of beetles. In order to prevent the further development of bark beetles (pupae or young adults inside the bark) the immediate debarking of logs is recommended, followed by the destruction, processing or composting of the bark. Pheromone mass-trapping can also be implemented locally (Stoakely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Rebenstorff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Niemeyer, 1989). Quarantine measures should be implemented to prevent entry into areas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absent. The main pathways of bark beetle entry are: wood commodities of plant hosts (plants for planting, non-squared wood, bark and wood packaging material, including dunnage) from countries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Nematodes, micro-organisms, parasitoids and predators may play a role in regulation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populations (Gusteleva, 1982; Vorontsov, 1995) but studies to confirm this assumption have not been carried out.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It is believed that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was previously present only in Asia but was introduced into Europe (north-eastern European Russia)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not explicitly regulated by the European Union but, since it is virtually absent from Europe, it can be considered as a member of the category ‘non-European Scolytidae’, which is regulated by the EU (EFSA, 2017). In accordance with the phytosanitary requirements of the EU, wood commodities are exported from Asian Russia (where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present) to the EU without bark.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reported to be more damaging to the local </w:t>
      </w:r>
      <w:r>
        <w:rPr>
          <w:rFonts w:ascii="Calibri" w:hAnsi="Calibri" w:eastAsia="Calibri" w:cs="Calibri"/>
          <w:i/>
          <w:iCs/>
          <w:color w:val="000000"/>
          <w:sz w:val="22"/>
          <w:szCs w:val="22"/>
        </w:rPr>
        <w:t xml:space="preserve">Larix </w:t>
      </w:r>
      <w:r>
        <w:rPr>
          <w:rFonts w:ascii="Calibri" w:hAnsi="Calibri" w:eastAsia="Calibri" w:cs="Calibri"/>
          <w:color w:val="000000"/>
          <w:sz w:val="22"/>
          <w:szCs w:val="22"/>
        </w:rPr>
        <w:t xml:space="preserve">species, and more in need of control in Asia than </w:t>
      </w:r>
      <w:r>
        <w:rPr>
          <w:rFonts w:ascii="Calibri" w:hAnsi="Calibri" w:eastAsia="Calibri" w:cs="Calibri"/>
          <w:i/>
          <w:iCs/>
          <w:color w:val="000000"/>
          <w:sz w:val="22"/>
          <w:szCs w:val="22"/>
        </w:rPr>
        <w:t xml:space="preserve">I. cembrae</w:t>
      </w:r>
      <w:r>
        <w:rPr>
          <w:rFonts w:ascii="Calibri" w:hAnsi="Calibri" w:eastAsia="Calibri" w:cs="Calibri"/>
          <w:color w:val="000000"/>
          <w:sz w:val="22"/>
          <w:szCs w:val="22"/>
        </w:rPr>
        <w:t xml:space="preserve"> in Europe (Stauffer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also presents a risk to other continents where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plantations are present, particularly North America. This pest has been not found in any EU countries, and may pose a threat to larch plantations in the EU territory.</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risk of spreading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is associated with the transportation of plant-host logs, mainly larch, which may contain eggs, larvae, pupae and adults under the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against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can be the same as for other bark beetle species (</w:t>
      </w:r>
      <w:r>
        <w:rPr>
          <w:rFonts w:ascii="Calibri" w:hAnsi="Calibri" w:eastAsia="Calibri" w:cs="Calibri"/>
          <w:i/>
          <w:iCs/>
          <w:color w:val="000000"/>
          <w:sz w:val="22"/>
          <w:szCs w:val="22"/>
        </w:rPr>
        <w:t xml:space="preserve">I. typographus, I. sexdentatus, I. </w:t>
      </w:r>
      <w:r>
        <w:rPr>
          <w:rFonts w:ascii="Calibri" w:hAnsi="Calibri" w:eastAsia="Calibri" w:cs="Calibri"/>
          <w:i/>
          <w:iCs/>
          <w:color w:val="000000"/>
          <w:sz w:val="22"/>
          <w:szCs w:val="22"/>
        </w:rPr>
        <w:t xml:space="preserve">hauseri</w:t>
      </w:r>
      <w:r>
        <w:rPr>
          <w:rFonts w:ascii="Calibri" w:hAnsi="Calibri" w:eastAsia="Calibri" w:cs="Calibri"/>
          <w:color w:val="000000"/>
          <w:sz w:val="22"/>
          <w:szCs w:val="22"/>
        </w:rPr>
        <w:t xml:space="preserve">, etc). The following phytosanitary measures recommended by the EPPO Standard PM 8/2 (3) ‘Coniferae’ (EPPO, 2018) are considered to be effective against bark beetles including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subelongatus</w:t>
      </w:r>
      <w:r>
        <w:rPr>
          <w:rFonts w:ascii="Calibri" w:hAnsi="Calibri" w:eastAsia="Calibri" w:cs="Calibri"/>
          <w:color w:val="000000"/>
          <w:sz w:val="22"/>
          <w:szCs w:val="22"/>
        </w:rPr>
        <w:t xml:space="preserve"> from countries in which this pest is present should originate from a pest-free area. If not, the following phytosanitary measures are required to import round wood from the area where the pest is present: wood should be bark-free or heat-treated (EPPO, 2009a), or fumigated with an appropriate fumigant, or treated with ionizing radiation (EPPO, 2009b). Harvesting wood residues, processing wood residues, hogwood and wood chips of the host should be produced from debarked wood or heat-treated. The heat treatment is also required for import of isolated bark. Wood packaging materials should meet requirements of ISPM no. 15 (IРРС, 2018). When wood with bark is moved in international trade, it should be stored and transported through the pest-free areas, or outside of the pest flight period, or in closed containers to prevent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(2021) CABI Invasive Species Compendium, online.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(larch bark beetle). Available online: </w:t>
      </w:r>
      <w:hyperlink r:id="rId358568052a87055a8" w:history="1">
        <w:r>
          <w:rPr>
            <w:rFonts w:ascii="Calibri" w:hAnsi="Calibri" w:eastAsia="Calibri" w:cs="Calibri"/>
            <w:color w:val="0000CC"/>
            <w:sz w:val="22"/>
            <w:szCs w:val="22"/>
            <w:u w:val="single"/>
          </w:rPr>
          <w:t xml:space="preserve">https://www.cabi.org/isc/datasheet/28841</w:t>
        </w:r>
      </w:hyperlink>
      <w:r>
        <w:rPr>
          <w:rFonts w:ascii="Calibri" w:hAnsi="Calibri" w:eastAsia="Calibri" w:cs="Calibri"/>
          <w:color w:val="000000"/>
          <w:sz w:val="22"/>
          <w:szCs w:val="22"/>
        </w:rPr>
        <w:t xml:space="preserve"> [Accessed: 21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AI (2015) Biology, systematics, and evolution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In Bark beetles: biology and ecology of native and invasive species. Edited by F.E. Vega and R.W. Hofstetter. Elsevier, San Diego, California. pp. 351–370. </w:t>
      </w:r>
    </w:p>
    <w:p>
      <w:pPr>
        <w:widowControl w:val="on"/>
        <w:pBdr/>
        <w:spacing w:before="220" w:after="220" w:line="240" w:lineRule="auto"/>
        <w:ind w:left="0" w:right="0"/>
        <w:jc w:val="left"/>
      </w:pPr>
      <w:r>
        <w:rPr>
          <w:rFonts w:ascii="Calibri" w:hAnsi="Calibri" w:eastAsia="Calibri" w:cs="Calibri"/>
          <w:color w:val="000000"/>
          <w:sz w:val="22"/>
          <w:szCs w:val="22"/>
        </w:rPr>
        <w:t xml:space="preserve">Cognato A I, Sun JH (2007) DNA based cladograms augment the discovery of a new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species from China (Coleoptera: Curculionidae: Scolytinae).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(6), 539-551.</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AI, Grebennikov V and Savard K (2019) Dichotomous and matrix-based keys to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bark beetles of the World (Coleoptera: Curculionidae: Scolytinae). </w:t>
      </w:r>
      <w:r>
        <w:rPr>
          <w:rFonts w:ascii="Calibri" w:hAnsi="Calibri" w:eastAsia="Calibri" w:cs="Calibri"/>
          <w:i/>
          <w:iCs/>
          <w:color w:val="000000"/>
          <w:sz w:val="22"/>
          <w:szCs w:val="22"/>
        </w:rPr>
        <w:t xml:space="preserve">Canadian Journal of Arthropod Identification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382568052a8705711"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(EFSA PLH) (2017) Jeger M, Bragard C, Caffier D, Candresse T, Chatzivassiliou E, Dehnen-Schmutz K, Gilioli G, Jaques Miret JA, MacLeod A, Navajas Navarro M, Niere B, Parnell S, Potting R, Rafoss T, Rossi V, Urek G, Van Bruggen A, Van der Werf W, West J, Winter S, Kertesz V, Aukhojee M and Gregoire J-C. Scientific opinion on the pest categorisation of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5039, 27 pp. </w:t>
      </w:r>
      <w:hyperlink r:id="rId397768052a87057a9" w:history="1">
        <w:r>
          <w:rPr>
            <w:rFonts w:ascii="Calibri" w:hAnsi="Calibri" w:eastAsia="Calibri" w:cs="Calibri"/>
            <w:color w:val="0000CC"/>
            <w:sz w:val="22"/>
            <w:szCs w:val="22"/>
            <w:u w:val="single"/>
          </w:rPr>
          <w:t xml:space="preserve">https://doi.org/10.2903/j.efsa.2017.5039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170068052a870587b" w:history="1">
        <w:r>
          <w:rPr>
            <w:rFonts w:ascii="Calibri" w:hAnsi="Calibri" w:eastAsia="Calibri" w:cs="Calibri"/>
            <w:color w:val="0000CC"/>
            <w:sz w:val="22"/>
            <w:szCs w:val="22"/>
            <w:u w:val="single"/>
          </w:rPr>
          <w:t xml:space="preserve">https://doi.org/10.1111/j.1365-2338.2005.00880.x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(2009a) Standard PM 10/6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Standard PM 10/8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EPPO datasheets on pests recommended for regulation. Available online. </w:t>
      </w:r>
      <w:hyperlink r:id="rId213368052a8705a12" w:history="1">
        <w:r>
          <w:rPr>
            <w:rFonts w:ascii="Calibri" w:hAnsi="Calibri" w:eastAsia="Calibri" w:cs="Calibri"/>
            <w:color w:val="0000CC"/>
            <w:sz w:val="22"/>
            <w:szCs w:val="22"/>
            <w:u w:val="single"/>
          </w:rPr>
          <w:t xml:space="preserve">https://gd.eppo.int/taxon/IPSXCE/datasheet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Gao CQ, Sun SH, Ren XG, Niu YZ, Song LW and Zhang YS (2000) [Study of biological and ecological characteristics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114–118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Jactel H and Gaillard J (1991) A preliminary study of the dispersal potential of </w:t>
      </w:r>
      <w:r>
        <w:rPr>
          <w:rFonts w:ascii="Calibri" w:hAnsi="Calibri" w:eastAsia="Calibri" w:cs="Calibri"/>
          <w:i/>
          <w:iCs/>
          <w:color w:val="000000"/>
          <w:sz w:val="22"/>
          <w:szCs w:val="22"/>
        </w:rPr>
        <w:t xml:space="preserve">Ips sexdentatus</w:t>
      </w:r>
      <w:r>
        <w:rPr>
          <w:rFonts w:ascii="Calibri" w:hAnsi="Calibri" w:eastAsia="Calibri" w:cs="Calibri"/>
          <w:color w:val="000000"/>
          <w:sz w:val="22"/>
          <w:szCs w:val="22"/>
        </w:rPr>
        <w:t xml:space="preserve"> with an automatically recording flight mill.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138-145.</w:t>
      </w:r>
    </w:p>
    <w:p>
      <w:pPr>
        <w:widowControl w:val="on"/>
        <w:pBdr/>
        <w:spacing w:before="220" w:after="220" w:line="240" w:lineRule="auto"/>
        <w:ind w:left="0" w:right="0"/>
        <w:jc w:val="left"/>
      </w:pPr>
      <w:r>
        <w:rPr>
          <w:rFonts w:ascii="Calibri" w:hAnsi="Calibri" w:eastAsia="Calibri" w:cs="Calibri"/>
          <w:color w:val="000000"/>
          <w:sz w:val="22"/>
          <w:szCs w:val="22"/>
        </w:rPr>
        <w:t xml:space="preserve">Gusteleva LA (1982) [Prospects of using microbial preparations against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Lesnoe Khozyaistvo</w:t>
      </w:r>
      <w:r>
        <w:rPr>
          <w:rFonts w:ascii="Calibri" w:hAnsi="Calibri" w:eastAsia="Calibri" w:cs="Calibri"/>
          <w:color w:val="000000"/>
          <w:sz w:val="22"/>
          <w:szCs w:val="22"/>
        </w:rPr>
        <w:t xml:space="preserve"> no.</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67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IРРС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and Dolgin MM (2005) [Illustrated guide to coleopteran – xylophagous pests of forests and timber of Russia]. Tula: Grif and C</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 218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Issaev AS (1966) [Borer pests of </w:t>
      </w:r>
      <w:r>
        <w:rPr>
          <w:rFonts w:ascii="Calibri" w:hAnsi="Calibri" w:eastAsia="Calibri" w:cs="Calibri"/>
          <w:i/>
          <w:iCs/>
          <w:color w:val="000000"/>
          <w:sz w:val="22"/>
          <w:szCs w:val="22"/>
        </w:rPr>
        <w:t xml:space="preserve">Larix dahurica</w:t>
      </w:r>
      <w:r>
        <w:rPr>
          <w:rFonts w:ascii="Calibri" w:hAnsi="Calibri" w:eastAsia="Calibri" w:cs="Calibri"/>
          <w:color w:val="000000"/>
          <w:sz w:val="22"/>
          <w:szCs w:val="22"/>
        </w:rPr>
        <w:t xml:space="preserve">] Nauka,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Kalina, V. (1969) [Larvae of European bark beetles (Coleoptera, Scolytidae)]. </w:t>
      </w:r>
      <w:r>
        <w:rPr>
          <w:rFonts w:ascii="Calibri" w:hAnsi="Calibri" w:eastAsia="Calibri" w:cs="Calibri"/>
          <w:i/>
          <w:iCs/>
          <w:color w:val="000000"/>
          <w:sz w:val="22"/>
          <w:szCs w:val="22"/>
        </w:rPr>
        <w:t xml:space="preserve">Studia Entomologica Forestalia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(2);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(3), 13-22; 41-61.</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Nam Y, Park C, Bae YJ and Choi WI (2019) Forecasting spring flight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(Coleoptera: Curculionidae: Scolytinae) in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(Pinales: Pinaceae) forests in the Republic of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 1481–1488, </w:t>
      </w:r>
      <w:hyperlink r:id="rId742968052a8705dd9" w:history="1">
        <w:r>
          <w:rPr>
            <w:rFonts w:ascii="Calibri" w:hAnsi="Calibri" w:eastAsia="Calibri" w:cs="Calibri"/>
            <w:color w:val="0000CC"/>
            <w:sz w:val="22"/>
            <w:szCs w:val="22"/>
            <w:u w:val="single"/>
          </w:rPr>
          <w:t xml:space="preserve">https://doi.org/10.1093/ee/nvz105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XW, Wang HM, Lu Q, Decock C, Li YX and Zhang XY (2017) Taxonomy and pathogenicity of </w:t>
      </w:r>
      <w:r>
        <w:rPr>
          <w:rFonts w:ascii="Calibri" w:hAnsi="Calibri" w:eastAsia="Calibri" w:cs="Calibri"/>
          <w:i/>
          <w:iCs/>
          <w:color w:val="000000"/>
          <w:sz w:val="22"/>
          <w:szCs w:val="22"/>
        </w:rPr>
        <w:t xml:space="preserve">Leptographium</w:t>
      </w:r>
      <w:r>
        <w:rPr>
          <w:rFonts w:ascii="Calibri" w:hAnsi="Calibri" w:eastAsia="Calibri" w:cs="Calibri"/>
          <w:color w:val="000000"/>
          <w:sz w:val="22"/>
          <w:szCs w:val="22"/>
        </w:rPr>
        <w:t xml:space="preserve">, species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infestations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northern China, including two new species. </w:t>
      </w:r>
      <w:r>
        <w:rPr>
          <w:rFonts w:ascii="Calibri" w:hAnsi="Calibri" w:eastAsia="Calibri" w:cs="Calibri"/>
          <w:i/>
          <w:iCs/>
          <w:color w:val="000000"/>
          <w:sz w:val="22"/>
          <w:szCs w:val="22"/>
        </w:rPr>
        <w:t xml:space="preserve">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[Xylophagous pests of forests and timber of Siberia and Far East]. Moscow: Agropromizdat. 208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(1988) [Guide on Forest Protection against Pests and Diseases.] Agropromizdat,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Niemeyer H (1989) [First results with a pheromone trap system for monitoring bark beetles in Lower Saxony and Schleswig-Holstein.] </w:t>
      </w:r>
      <w:r>
        <w:rPr>
          <w:rFonts w:ascii="Calibri" w:hAnsi="Calibri" w:eastAsia="Calibri" w:cs="Calibri"/>
          <w:i/>
          <w:iCs/>
          <w:color w:val="000000"/>
          <w:sz w:val="22"/>
          <w:szCs w:val="22"/>
        </w:rPr>
        <w:t xml:space="preserve">Forst und Holz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114–115 (in German). </w:t>
      </w:r>
    </w:p>
    <w:p>
      <w:pPr>
        <w:widowControl w:val="on"/>
        <w:pBdr/>
        <w:spacing w:before="220" w:after="220" w:line="240" w:lineRule="auto"/>
        <w:ind w:left="0" w:right="0"/>
        <w:jc w:val="left"/>
      </w:pPr>
      <w:r>
        <w:rPr>
          <w:rFonts w:ascii="Calibri" w:hAnsi="Calibri" w:eastAsia="Calibri" w:cs="Calibri"/>
          <w:color w:val="000000"/>
          <w:sz w:val="22"/>
          <w:szCs w:val="22"/>
        </w:rPr>
        <w:t xml:space="preserve">Pfeffer A (1995) Zentral- und Westpaläarktische Borken- und Kernkäfer (Coleoptera: Scolytidae, Platypodidae). </w:t>
      </w:r>
      <w:r>
        <w:rPr>
          <w:rFonts w:ascii="Calibri" w:hAnsi="Calibri" w:eastAsia="Calibri" w:cs="Calibri"/>
          <w:i/>
          <w:iCs/>
          <w:color w:val="000000"/>
          <w:sz w:val="22"/>
          <w:szCs w:val="22"/>
        </w:rPr>
        <w:t xml:space="preserve">Entomologica Basiliensia</w:t>
      </w:r>
      <w:r>
        <w:rPr>
          <w:rFonts w:ascii="Calibri" w:hAnsi="Calibri" w:eastAsia="Calibri" w:cs="Calibri"/>
          <w:color w:val="000000"/>
          <w:sz w:val="22"/>
          <w:szCs w:val="22"/>
        </w:rPr>
        <w:t xml:space="preserve">, Bd. 17. p. 5–310.</w:t>
      </w:r>
    </w:p>
    <w:p>
      <w:pPr>
        <w:widowControl w:val="on"/>
        <w:pBdr/>
        <w:spacing w:before="220" w:after="220" w:line="240" w:lineRule="auto"/>
        <w:ind w:left="0" w:right="0"/>
        <w:jc w:val="left"/>
      </w:pPr>
      <w:r>
        <w:rPr>
          <w:rFonts w:ascii="Calibri" w:hAnsi="Calibri" w:eastAsia="Calibri" w:cs="Calibri"/>
          <w:color w:val="000000"/>
          <w:sz w:val="22"/>
          <w:szCs w:val="22"/>
        </w:rPr>
        <w:t xml:space="preserve">Qiu HG, Fu WJ, Qi YT, He LF and Ling XD (1988) [Studies on the aggregation pheromone of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II. The relationship between aggregation behaviour and the host plant tree.] </w:t>
      </w:r>
      <w:r>
        <w:rPr>
          <w:rFonts w:ascii="Calibri" w:hAnsi="Calibri" w:eastAsia="Calibri" w:cs="Calibri"/>
          <w:i/>
          <w:iCs/>
          <w:color w:val="000000"/>
          <w:sz w:val="22"/>
          <w:szCs w:val="22"/>
        </w:rPr>
        <w:t xml:space="preserve">Contributions from Shanghai Institute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Rebenstorff H. and Francke W. (1982) [The large larch bark beetle: monitoring with attractants?]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450.</w:t>
      </w:r>
    </w:p>
    <w:p>
      <w:pPr>
        <w:widowControl w:val="on"/>
        <w:pBdr/>
        <w:spacing w:before="220" w:after="220" w:line="240" w:lineRule="auto"/>
        <w:ind w:left="0" w:right="0"/>
        <w:jc w:val="left"/>
      </w:pPr>
      <w:r>
        <w:rPr>
          <w:rFonts w:ascii="Calibri" w:hAnsi="Calibri" w:eastAsia="Calibri" w:cs="Calibri"/>
          <w:color w:val="000000"/>
          <w:sz w:val="22"/>
          <w:szCs w:val="22"/>
        </w:rPr>
        <w:t xml:space="preserve">Redfern DB, Stoakley JT, Steele H and Minter DW (1987) Dieback and death of larch caused by </w:t>
      </w:r>
      <w:r>
        <w:rPr>
          <w:rFonts w:ascii="Calibri" w:hAnsi="Calibri" w:eastAsia="Calibri" w:cs="Calibri"/>
          <w:i/>
          <w:iCs/>
          <w:color w:val="000000"/>
          <w:sz w:val="22"/>
          <w:szCs w:val="22"/>
        </w:rPr>
        <w:t xml:space="preserve">Ceratocystis laricicola</w:t>
      </w:r>
      <w:r>
        <w:rPr>
          <w:rFonts w:ascii="Calibri" w:hAnsi="Calibri" w:eastAsia="Calibri" w:cs="Calibri"/>
          <w:color w:val="000000"/>
          <w:sz w:val="22"/>
          <w:szCs w:val="22"/>
        </w:rPr>
        <w:t xml:space="preserve"> sp. nov. following attack by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467-480.</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HJ (1977) [Experience in the control of the large larch bark beetle in stands of low vitality.] </w:t>
      </w:r>
      <w:r>
        <w:rPr>
          <w:rFonts w:ascii="Calibri" w:hAnsi="Calibri" w:eastAsia="Calibri" w:cs="Calibri"/>
          <w:i/>
          <w:iCs/>
          <w:color w:val="000000"/>
          <w:sz w:val="22"/>
          <w:szCs w:val="22"/>
        </w:rPr>
        <w:t xml:space="preserve">Allgemeine Forst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1115–1116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Stoakely JT, Bakke A, Renwick JAA and Vité JP (1977) The aggregation pheromone system of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Heer.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Stauffer C, Kirisits T, Nussbaumer C, Pavlin R and Wingfield MJ (2001) Phylogenetic relationships between the European and Asian eight-spined larch bark beetle populations (Coleoptera, Scolytidae) inferred from DNA sequences and fungal associates.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99–105.</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5th edn. Ekologiya, Moscow (RU)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Wang Z, Liu Y, Wang H, Meng X, Liu X, Decock C, Zhang X and Lu Q (2020) Ophiostomatoid fungi associated with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including eight new species from northeastern China.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 </w:t>
      </w:r>
      <w:hyperlink r:id="rId798868052a8706368" w:history="1">
        <w:r>
          <w:rPr>
            <w:rFonts w:ascii="Calibri" w:hAnsi="Calibri" w:eastAsia="Calibri" w:cs="Calibri"/>
            <w:color w:val="0000CC"/>
            <w:sz w:val="22"/>
            <w:szCs w:val="22"/>
            <w:u w:val="single"/>
          </w:rPr>
          <w:t xml:space="preserve">https://doi.org/10.1186/s43008-019-0025-3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Wingfield MJ, Ohsawa M and Kuroda Y (1998) Ophiostomatoid fungi associated with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in Japan and their pathogenicity to Japanese larch. </w:t>
      </w:r>
      <w:r>
        <w:rPr>
          <w:rFonts w:ascii="Calibri" w:hAnsi="Calibri" w:eastAsia="Calibri" w:cs="Calibri"/>
          <w:i/>
          <w:iCs/>
          <w:color w:val="000000"/>
          <w:sz w:val="22"/>
          <w:szCs w:val="22"/>
        </w:rPr>
        <w:t xml:space="preserve">Mycoscience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367–378.</w:t>
      </w:r>
    </w:p>
    <w:p>
      <w:pPr>
        <w:widowControl w:val="on"/>
        <w:pBdr/>
        <w:spacing w:before="220" w:after="220" w:line="240" w:lineRule="auto"/>
        <w:ind w:left="0" w:right="0"/>
        <w:jc w:val="left"/>
      </w:pPr>
      <w:r>
        <w:rPr>
          <w:rFonts w:ascii="Calibri" w:hAnsi="Calibri" w:eastAsia="Calibri" w:cs="Calibri"/>
          <w:color w:val="000000"/>
          <w:sz w:val="22"/>
          <w:szCs w:val="22"/>
        </w:rPr>
        <w:t xml:space="preserve">Yu CM, Guo SP and Cheng DJ (1984) [Study of the larch bark beetle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 Eastern Forestry Institute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27–39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QH, Birgersson G, Schlyter F and Chen GF (2000) Pheromone components in the larch bark beetle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from China: quantitative variation among attack phases and individuals.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841–858.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Oleg Kulinich (All-Russian Center for Plant Quarantine).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EPPO datasheets on pests recommended for regulation. Available online. </w:t>
      </w:r>
      <w:hyperlink r:id="rId274368052a87066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Ips cembrae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Ips subelongatus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445-449. </w:t>
      </w:r>
      <w:hyperlink r:id="rId298768052a8706767" w:history="1">
        <w:r>
          <w:rPr>
            <w:rFonts w:ascii="Calibri" w:hAnsi="Calibri" w:eastAsia="Calibri" w:cs="Calibri"/>
            <w:color w:val="0000CC"/>
            <w:sz w:val="22"/>
            <w:szCs w:val="22"/>
            <w:u w:val="single"/>
          </w:rPr>
          <w:t xml:space="preserve">https://doi.org/10.1111/j.1365-2338.2005.00880.x</w:t>
        </w:r>
      </w:hyperlink>
    </w:p>
    <w:p>
      <w:r>
        <w:drawing>
          <wp:inline distT="0" distB="0" distL="0" distR="0">
            <wp:extent cx="1800000" cy="604800"/>
            <wp:docPr id="98467226" name="name456468052a870681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8168052a87068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747115">
    <w:multiLevelType w:val="hybridMultilevel"/>
    <w:lvl w:ilvl="0" w:tplc="96105880">
      <w:start w:val="1"/>
      <w:numFmt w:val="decimal"/>
      <w:lvlText w:val="%1."/>
      <w:lvlJc w:val="left"/>
      <w:pPr>
        <w:ind w:left="720" w:hanging="360"/>
      </w:pPr>
    </w:lvl>
    <w:lvl w:ilvl="1" w:tplc="96105880" w:tentative="1">
      <w:start w:val="1"/>
      <w:numFmt w:val="lowerLetter"/>
      <w:lvlText w:val="%2."/>
      <w:lvlJc w:val="left"/>
      <w:pPr>
        <w:ind w:left="1440" w:hanging="360"/>
      </w:pPr>
    </w:lvl>
    <w:lvl w:ilvl="2" w:tplc="96105880" w:tentative="1">
      <w:start w:val="1"/>
      <w:numFmt w:val="lowerRoman"/>
      <w:lvlText w:val="%3."/>
      <w:lvlJc w:val="right"/>
      <w:pPr>
        <w:ind w:left="2160" w:hanging="180"/>
      </w:pPr>
    </w:lvl>
    <w:lvl w:ilvl="3" w:tplc="96105880" w:tentative="1">
      <w:start w:val="1"/>
      <w:numFmt w:val="decimal"/>
      <w:lvlText w:val="%4."/>
      <w:lvlJc w:val="left"/>
      <w:pPr>
        <w:ind w:left="2880" w:hanging="360"/>
      </w:pPr>
    </w:lvl>
    <w:lvl w:ilvl="4" w:tplc="96105880" w:tentative="1">
      <w:start w:val="1"/>
      <w:numFmt w:val="lowerLetter"/>
      <w:lvlText w:val="%5."/>
      <w:lvlJc w:val="left"/>
      <w:pPr>
        <w:ind w:left="3600" w:hanging="360"/>
      </w:pPr>
    </w:lvl>
    <w:lvl w:ilvl="5" w:tplc="96105880" w:tentative="1">
      <w:start w:val="1"/>
      <w:numFmt w:val="lowerRoman"/>
      <w:lvlText w:val="%6."/>
      <w:lvlJc w:val="right"/>
      <w:pPr>
        <w:ind w:left="4320" w:hanging="180"/>
      </w:pPr>
    </w:lvl>
    <w:lvl w:ilvl="6" w:tplc="96105880" w:tentative="1">
      <w:start w:val="1"/>
      <w:numFmt w:val="decimal"/>
      <w:lvlText w:val="%7."/>
      <w:lvlJc w:val="left"/>
      <w:pPr>
        <w:ind w:left="5040" w:hanging="360"/>
      </w:pPr>
    </w:lvl>
    <w:lvl w:ilvl="7" w:tplc="96105880" w:tentative="1">
      <w:start w:val="1"/>
      <w:numFmt w:val="lowerLetter"/>
      <w:lvlText w:val="%8."/>
      <w:lvlJc w:val="left"/>
      <w:pPr>
        <w:ind w:left="5760" w:hanging="360"/>
      </w:pPr>
    </w:lvl>
    <w:lvl w:ilvl="8" w:tplc="96105880" w:tentative="1">
      <w:start w:val="1"/>
      <w:numFmt w:val="lowerRoman"/>
      <w:lvlText w:val="%9."/>
      <w:lvlJc w:val="right"/>
      <w:pPr>
        <w:ind w:left="6480" w:hanging="180"/>
      </w:pPr>
    </w:lvl>
  </w:abstractNum>
  <w:abstractNum w:abstractNumId="45747114">
    <w:multiLevelType w:val="hybridMultilevel"/>
    <w:lvl w:ilvl="0" w:tplc="617083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5747114">
    <w:abstractNumId w:val="45747114"/>
  </w:num>
  <w:num w:numId="45747115">
    <w:abstractNumId w:val="457471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7914273" Type="http://schemas.microsoft.com/office/2011/relationships/commentsExtended" Target="commentsExtended.xml"/><Relationship Id="rId974154234" Type="http://schemas.microsoft.com/office/2011/relationships/people" Target="people.xml"/><Relationship Id="rId954368052a8702423" Type="http://schemas.openxmlformats.org/officeDocument/2006/relationships/hyperlink" Target="https://gd.eppo.int/taxon/IPSXFA/" TargetMode="External"/><Relationship Id="rId423068052a8702468" Type="http://schemas.openxmlformats.org/officeDocument/2006/relationships/hyperlink" Target="https://gd.eppo.int/taxon/IPSXFA/categorization" TargetMode="External"/><Relationship Id="rId366568052a8702e17" Type="http://schemas.openxmlformats.org/officeDocument/2006/relationships/hyperlink" Target="https://gd.eppo.int/taxon/IPSXFA/photos" TargetMode="External"/><Relationship Id="rId358568052a87055a8" Type="http://schemas.openxmlformats.org/officeDocument/2006/relationships/hyperlink" Target="https://www.cabi.org/isc/datasheet/28841" TargetMode="External"/><Relationship Id="rId382568052a8705711" Type="http://schemas.openxmlformats.org/officeDocument/2006/relationships/hyperlink" Target="http://cjai.biologicalsurvey.ca/dcgs_38/dcgs_38.html" TargetMode="External"/><Relationship Id="rId397768052a87057a9" Type="http://schemas.openxmlformats.org/officeDocument/2006/relationships/hyperlink" Target="https://doi.org/10.2903/j.efsa.2017.5039" TargetMode="External"/><Relationship Id="rId170068052a870587b" Type="http://schemas.openxmlformats.org/officeDocument/2006/relationships/hyperlink" Target="https://doi.org/10.1111/j.1365-2338.2005.00880.x" TargetMode="External"/><Relationship Id="rId213368052a8705a12" Type="http://schemas.openxmlformats.org/officeDocument/2006/relationships/hyperlink" Target="https://gd.eppo.int/taxon/IPSXCE/datasheet" TargetMode="External"/><Relationship Id="rId742968052a8705dd9" Type="http://schemas.openxmlformats.org/officeDocument/2006/relationships/hyperlink" Target="https://doi.org/10.1093/ee/nvz105" TargetMode="External"/><Relationship Id="rId798868052a8706368" Type="http://schemas.openxmlformats.org/officeDocument/2006/relationships/hyperlink" Target="https://doi.org/10.1186/s43008-019-0025-3" TargetMode="External"/><Relationship Id="rId274368052a870661d" Type="http://schemas.openxmlformats.org/officeDocument/2006/relationships/hyperlink" Target="https://gd.eppo.int" TargetMode="External"/><Relationship Id="rId298768052a8706767" Type="http://schemas.openxmlformats.org/officeDocument/2006/relationships/hyperlink" Target="https://doi.org/10.1111/j.1365-2338.2005.00880.x" TargetMode="External"/><Relationship Id="rId726868052a8702cc5" Type="http://schemas.openxmlformats.org/officeDocument/2006/relationships/image" Target="media/imgrId726868052a8702cc5.jpg"/><Relationship Id="rId981068052a87044c0" Type="http://schemas.openxmlformats.org/officeDocument/2006/relationships/image" Target="media/imgrId981068052a87044c0.jpg"/><Relationship Id="rId788168052a8706813" Type="http://schemas.openxmlformats.org/officeDocument/2006/relationships/image" Target="media/imgrId788168052a87068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