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subelongatus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subelongatus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fallax</w:t>
            </w:r>
            <w:r>
              <w:rPr>
                <w:rFonts w:ascii="Calibri" w:hAnsi="Calibri" w:eastAsia="Calibri" w:cs="Calibri"/>
                <w:color w:val="000000"/>
                <w:position w:val="-3"/>
                <w:sz w:val="22"/>
                <w:szCs w:val="22"/>
              </w:rPr>
              <w:t xml:space="preserve"> Egger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larch bark beetle, oblong bark beetle</w:t>
            </w:r>
            <w:hyperlink r:id="rId4832669e816c6af6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028669e816c6afa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316102" name="name5087669e816c6b08d" descr="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0.jpg"/>
                          <pic:cNvPicPr/>
                        </pic:nvPicPr>
                        <pic:blipFill>
                          <a:blip r:embed="rId7452669e816c6b08c" cstate="print"/>
                          <a:stretch>
                            <a:fillRect/>
                          </a:stretch>
                        </pic:blipFill>
                        <pic:spPr>
                          <a:xfrm>
                            <a:off x="0" y="0"/>
                            <a:ext cx="2160000" cy="1281600"/>
                          </a:xfrm>
                          <a:prstGeom prst="rect">
                            <a:avLst/>
                          </a:prstGeom>
                          <a:ln w="0">
                            <a:noFill/>
                          </a:ln>
                        </pic:spPr>
                      </pic:pic>
                    </a:graphicData>
                  </a:graphic>
                </wp:inline>
              </w:drawing>
            </w:r>
            <w:hyperlink r:id="rId2630669e816c6b1b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recently,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Motschulsky, 1860 has often been confused with a very close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Heer. It was difficult to differentiate these species based on morphological characteristics and some authors considered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as synonymous with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However, the latest research, based on mitochondrial DNA sequences, established small but clear differences between two species and therefore that they may be considered as separate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infesting larch in Europe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infesting larch in Asia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Cognato,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Therefore, the earlier records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Asia (e.g. Maslov, 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Pfeffer, 1995; Vorontsov, 1995) are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With respect to the whole Eurasian region,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various larch species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but the pest can also attack fir, spruce and pine (Mamaev, 1985). The beetle usually attacks cut logs, storm-damaged or dying trees, but sometimes it attacks standing live, stressed,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 clear morphological distinction between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difficult, it is generally accepted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widespread in Asia and present in the north of the European part of Russia, and that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present in Europe (EPPO, 2005; 2021; EFSA, 2017;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CABI, 2021;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future, identifying these species will require DNA analysis, especially for beetles from areas where the ranges of these species overlap.</w:t>
      </w:r>
    </w:p>
    <w:p>
      <w:r>
        <w:drawing>
          <wp:inline distT="0" distB="0" distL="0" distR="0">
            <wp:extent cx="6120000" cy="3067200"/>
            <wp:docPr id="29400625" name="name4836669e816c6bfce" descr="IPSX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FA_distribution_map.jpg"/>
                    <pic:cNvPicPr/>
                  </pic:nvPicPr>
                  <pic:blipFill>
                    <a:blip r:embed="rId1989669e816c6bf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Henan, Hubei, Jilin, Liaoning, Neimenggu, Shaanxi, Shandong, Shanxi, Xinjiang, Yunnan), Japan (Hokkaido, Honshu), Korea Dem. People's Republic, Korea, Republic, Mongolia,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(spring) mass flight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usually occurs from mid-May to the end of June in the southern part of the area of its distribution, when midday temperature reaches 16–20°C, and lasts for 15–17 days. The lower threshold temperature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flight was estimated as 5.97°C, with 42.95 degree-days required for initiation of spring flight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aggregate in response to pheromones (Qiu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After making galleries and laying eggs, some adults begin a second (‘sister’) flight, forming a ‘sister’ generation (Issaev, 1966; Maslov, 1988). This usually occurs from the end of June to the end of July in the same region and lasts 22–23 days. The adults from the first generation meanwhile continue additional feeding and enter diapause to prepare for overwintering. Sister generations follow in succession. Most adults overwinter in forest litter, whereas pupae, larvae and some adults overwinter under host bark (Schneider, 1977).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 </w:t>
      </w:r>
      <w:r>
        <w:rPr>
          <w:rFonts w:ascii="Calibri" w:hAnsi="Calibri" w:eastAsia="Calibri" w:cs="Calibri"/>
          <w:color w:val="000000"/>
          <w:sz w:val="22"/>
          <w:szCs w:val="22"/>
        </w:rPr>
        <w:t xml:space="preserve">may lay eggs in stressed trees, but more usually in dying trees and cut trunks. The form and the depth of galleries varies greatly depending on the health of the tree. Female galleries, 3.0–3.5 mm wide, are usually 16–18 cm long but may sometimes reach 27 cm. Adults need additional feeding, which usually occurs on the trunk at the region of larval development, but, in the case of shortage of food, may also be on roots and at the zone of thin bark at the top of the trunk and on the branches. These galleries are characterized by high quantities of frass.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characteristic symptoms are: flow of resin coming from the places where attempts have been made to lay eggs, typical gallery system with central chamber and radial larval galleries, sparse crowns of larch trees with partly dead tops and branches. Pest-infested trees often wilt and die.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fact that the early morphological description of eggs, larva, pupa of this species may have belonged to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only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adults are described below. Since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very closely related species, it is assumed that the morphology of eggs, larva, and pupa will be identical (Kalina, 1969; EPPO, 2021). A brief morphological description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based on records by Сognato (2015) &amp;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4.2-6.5 mm long, 2.6 times longer than wide; pronotum 1.1-1.2 times longer than wide. There are four spines on the elytral declivity.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distinguished from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by the shiny elytral declivity and interstrial punctures of the elytral disk, and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by more densely setose elytral declivity and larger body size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usually only 3 to 5 mm long). It differs from North American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-feeding species and </w:t>
      </w:r>
      <w:r>
        <w:rPr>
          <w:rFonts w:ascii="Calibri" w:hAnsi="Calibri" w:eastAsia="Calibri" w:cs="Calibri"/>
          <w:i/>
          <w:iCs/>
          <w:color w:val="000000"/>
          <w:sz w:val="22"/>
          <w:szCs w:val="22"/>
        </w:rPr>
        <w:t xml:space="preserve">I. woodi</w:t>
      </w:r>
      <w:r>
        <w:rPr>
          <w:rFonts w:ascii="Calibri" w:hAnsi="Calibri" w:eastAsia="Calibri" w:cs="Calibri"/>
          <w:color w:val="000000"/>
          <w:sz w:val="22"/>
          <w:szCs w:val="22"/>
        </w:rPr>
        <w:t xml:space="preserve"> by the space between the first and second spines, which is less than the length of the first spine (Сognato,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detected by visual inspection of trees showing signs of damage. During a pest attack, sawdust is ejected from the entrance holes, and when young adults begin to feed on phloem around the passages, the bark can flake off. Pest detection can also be done with pheromone traps. The species can be identified based on morphological parameters, but DNA analysis is necessary to accurately distinguish it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trees attacked by these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the death of the crown of trees is observed. The sapwood of attacked trees turns blue due to blue stain fungi that beetles carry.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continuously for several hours. In the field, however, flight has only been observed to take place over limited distances and then usually downwind. It was found that some individuals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up to 45 km, but the distance for most of the beetles was 5 km (Jactel &amp; Gaillard, 1991). </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over longer distances occurs via transportation of the pest under the bark of logs. It is assumed that the distribution area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Asia, but later this species was introduced into the European part of Russia, probably with non-debarked wood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little risk of movement with plants for planting, but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could be carried as contaminating pests on other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secondary pest in native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logs, wind-blown stems and dying trees. Drought conditions may promote pest attack on drought stressed trees. The situation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has a much greater economic impact in Russia because larch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constitutes a much more important element of Siberian forests.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regarded as one of the most serious pests of larch in the Asian part of the EPPO region. The most severe damage is usually observed in larch forests previously attacked by </w:t>
      </w:r>
      <w:r>
        <w:rPr>
          <w:rFonts w:ascii="Calibri" w:hAnsi="Calibri" w:eastAsia="Calibri" w:cs="Calibri"/>
          <w:i/>
          <w:iCs/>
          <w:color w:val="000000"/>
          <w:sz w:val="22"/>
          <w:szCs w:val="22"/>
        </w:rPr>
        <w:t xml:space="preserve">Dendrolimus sibiricus, Dasychira albodentata, Semiothisa continuaria, Xylotrechus altaicus</w:t>
      </w:r>
      <w:r>
        <w:rPr>
          <w:rFonts w:ascii="Calibri" w:hAnsi="Calibri" w:eastAsia="Calibri" w:cs="Calibri"/>
          <w:color w:val="000000"/>
          <w:sz w:val="22"/>
          <w:szCs w:val="22"/>
        </w:rPr>
        <w:t xml:space="preserve"> and other pests, or damaged by forest fires, and is very often followed by outbreaks of other wood borers (scolytids, cerambycids and others), particularly, </w:t>
      </w:r>
      <w:r>
        <w:rPr>
          <w:rFonts w:ascii="Calibri" w:hAnsi="Calibri" w:eastAsia="Calibri" w:cs="Calibri"/>
          <w:i/>
          <w:iCs/>
          <w:color w:val="000000"/>
          <w:sz w:val="22"/>
          <w:szCs w:val="22"/>
        </w:rPr>
        <w:t xml:space="preserve">Scolytus morawitzi, Monochamus sutor, M. impluviatus, Melanophila guttulata</w:t>
      </w:r>
      <w:r>
        <w:rPr>
          <w:rFonts w:ascii="Calibri" w:hAnsi="Calibri" w:eastAsia="Calibri" w:cs="Calibri"/>
          <w:color w:val="000000"/>
          <w:sz w:val="22"/>
          <w:szCs w:val="22"/>
        </w:rPr>
        <w:t xml:space="preserve"> (Issaev, 1966;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 Vorontsov, 1995).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may continue to attack the same tree over several years. In particular, larvae sometimes encircle trunks feeding in the phloem, which may lead to the death of the infested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of other conifer bark beetles,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vector of blue-stain and other phytopathogenic fungi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Ceratocystiopsis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 Ophiostoma piceae</w:t>
      </w:r>
      <w:r>
        <w:rPr>
          <w:rFonts w:ascii="Calibri" w:hAnsi="Calibri" w:eastAsia="Calibri" w:cs="Calibri"/>
          <w:color w:val="000000"/>
          <w:sz w:val="22"/>
          <w:szCs w:val="22"/>
        </w:rPr>
        <w:t xml:space="preserve">), which also damage the tree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Several fungal species belonging to four genera (</w:t>
      </w:r>
      <w:r>
        <w:rPr>
          <w:rFonts w:ascii="Calibri" w:hAnsi="Calibri" w:eastAsia="Calibri" w:cs="Calibri"/>
          <w:i/>
          <w:iCs/>
          <w:color w:val="000000"/>
          <w:sz w:val="22"/>
          <w:szCs w:val="22"/>
        </w:rPr>
        <w:t xml:space="preserve">Ceratocystiopsis, Endoconidiophora, Leptographium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have been identified in China on various species of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Researchers believe that it is these phytopathogenic fungi that can cause the death of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similar to those used for the control of other bark beetle species. The most effective measure is the sanitation felling of infested standing trees, as well as the harvesting of diseased and windthrown trees (to remove pest breeding substrates). These measures prevent the emergence of a new generation of beetles. In order to prevent the further development of bark beetles (pupae or young adults inside the bark) the immediate debarking of logs is recommended, followed by the destruction, processing or composting of the bark. Pheromone mass-trapping can also be implemented locally (Stoakely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Rebenstorff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Niemeyer, 1989). Quarantine measures should be implemented to prevent entry into areas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absent. The main pathways of bark beetle entry are: wood commodities of plant hosts (plants for planting, non-squared wood, bark and wood packaging material, including dunnage) from countries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micro-organisms, parasitoids and predators may play a role in regulation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populations (Gusteleva, 1982; Vorontsov, 1995) but studies to confirm this assumption have not been carried out.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It is believed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previously present only in Asia but was introduced into Europe (north-eastern European Russia)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not explicitly regulated by the European Union but, since it is virtually absent from Europe, it can be considered as a member of the category ‘non-European Scolytidae’, which is regulated by the EU (EFSA, 2017). In accordance with the phytosanitary requirements of the EU, wood commodities are exported from Asian Russia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present) to the EU without bark.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reported to be more damaging to the local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species, and more in need of control in Asia than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Europe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also presents a risk to other continents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are present, particularly North America. This pest has been not found in any EU countries, and may pose a threat to larch plantations in the EU territory.</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risk of spreading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associated with the transportation of plant-host logs, mainly larch, which may contain eggs, larvae, pupae and adults under the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against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the same as for other bark beetle species (</w:t>
      </w:r>
      <w:r>
        <w:rPr>
          <w:rFonts w:ascii="Calibri" w:hAnsi="Calibri" w:eastAsia="Calibri" w:cs="Calibri"/>
          <w:i/>
          <w:iCs/>
          <w:color w:val="000000"/>
          <w:sz w:val="22"/>
          <w:szCs w:val="22"/>
        </w:rPr>
        <w:t xml:space="preserve">I. typographus, I. sexdentatus, I. </w:t>
      </w:r>
      <w:r>
        <w:rPr>
          <w:rFonts w:ascii="Calibri" w:hAnsi="Calibri" w:eastAsia="Calibri" w:cs="Calibri"/>
          <w:i/>
          <w:iCs/>
          <w:color w:val="000000"/>
          <w:sz w:val="22"/>
          <w:szCs w:val="22"/>
        </w:rPr>
        <w:t xml:space="preserve">hauseri</w:t>
      </w:r>
      <w:r>
        <w:rPr>
          <w:rFonts w:ascii="Calibri" w:hAnsi="Calibri" w:eastAsia="Calibri" w:cs="Calibri"/>
          <w:color w:val="000000"/>
          <w:sz w:val="22"/>
          <w:szCs w:val="22"/>
        </w:rPr>
        <w:t xml:space="preserve">, etc).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(2021) CABI Invasive Species Compendium, online.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(larch bark beetle). Available online: </w:t>
      </w:r>
      <w:hyperlink r:id="rId4675669e816c6ce5e" w:history="1">
        <w:r>
          <w:rPr>
            <w:rFonts w:ascii="Calibri" w:hAnsi="Calibri" w:eastAsia="Calibri" w:cs="Calibri"/>
            <w:color w:val="0000CC"/>
            <w:sz w:val="22"/>
            <w:szCs w:val="22"/>
            <w:u w:val="single"/>
          </w:rPr>
          <w:t xml:space="preserve">https://www.cabi.org/isc/datasheet/28841</w:t>
        </w:r>
      </w:hyperlink>
      <w:r>
        <w:rPr>
          <w:rFonts w:ascii="Calibri" w:hAnsi="Calibri" w:eastAsia="Calibri" w:cs="Calibri"/>
          <w:color w:val="000000"/>
          <w:sz w:val="22"/>
          <w:szCs w:val="22"/>
        </w:rPr>
        <w:t xml:space="preserve"> [Accessed: 21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Bark beetles: biology and ecology of native and invasive species. Edited by F.E. Vega and R.W. Hofstetter. Elsevier, San Diego, California. pp. 351–370. </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 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and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2944669e816c6cfb6"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(EFSA PLH) (2017) Jeger M, Bragard C, Caffier D, Candresse T, Chatzivassiliou E, Dehnen-Schmutz K, Gilioli G, Jaques Miret JA, MacLeod A, Navajas Navarro M, Niere B, Parnell S, Potting R, Rafoss T, Rossi V, Urek G, Van Bruggen A, Van der Werf W, West J, Winter S, Kertesz V, Aukhojee M and Gregoire J-C. Scientific opinion on the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 27 pp. </w:t>
      </w:r>
      <w:hyperlink r:id="rId7548669e816c6d047" w:history="1">
        <w:r>
          <w:rPr>
            <w:rFonts w:ascii="Calibri" w:hAnsi="Calibri" w:eastAsia="Calibri" w:cs="Calibri"/>
            <w:color w:val="0000CC"/>
            <w:sz w:val="22"/>
            <w:szCs w:val="22"/>
            <w:u w:val="single"/>
          </w:rPr>
          <w:t xml:space="preserve">https://doi.org/10.2903/j.efsa.2017.5039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4672669e816c6d101" w:history="1">
        <w:r>
          <w:rPr>
            <w:rFonts w:ascii="Calibri" w:hAnsi="Calibri" w:eastAsia="Calibri" w:cs="Calibri"/>
            <w:color w:val="0000CC"/>
            <w:sz w:val="22"/>
            <w:szCs w:val="22"/>
            <w:u w:val="single"/>
          </w:rPr>
          <w:t xml:space="preserve">https://doi.org/10.1111/j.1365-2338.2005.00880.x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2008669e816c6d262" w:history="1">
        <w:r>
          <w:rPr>
            <w:rFonts w:ascii="Calibri" w:hAnsi="Calibri" w:eastAsia="Calibri" w:cs="Calibri"/>
            <w:color w:val="0000CC"/>
            <w:sz w:val="22"/>
            <w:szCs w:val="22"/>
            <w:u w:val="single"/>
          </w:rPr>
          <w:t xml:space="preserve">https://gd.eppo.int/taxon/IPSXCE/datasheet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CQ, Sun SH, Ren XG, Niu YZ, Song LW and Zhang YS (2000) [Study of biological and ecological characteristics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114–118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Gusteleva LA (1982) [Prospects of using microbial preparations against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Lesnoe Khozyaistvo</w:t>
      </w:r>
      <w:r>
        <w:rPr>
          <w:rFonts w:ascii="Calibri" w:hAnsi="Calibri" w:eastAsia="Calibri" w:cs="Calibri"/>
          <w:color w:val="000000"/>
          <w:sz w:val="22"/>
          <w:szCs w:val="22"/>
        </w:rPr>
        <w:t xml:space="preserve"> no.</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67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and Dolgin MM (2005) [Illustrated guide to coleopteran – xylophagous pests of forests and timber of Russia]. Tula: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218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Issaev AS (1966) [Borer pests of </w:t>
      </w:r>
      <w:r>
        <w:rPr>
          <w:rFonts w:ascii="Calibri" w:hAnsi="Calibri" w:eastAsia="Calibri" w:cs="Calibri"/>
          <w:i/>
          <w:iCs/>
          <w:color w:val="000000"/>
          <w:sz w:val="22"/>
          <w:szCs w:val="22"/>
        </w:rPr>
        <w:t xml:space="preserve">Larix dahurica</w:t>
      </w:r>
      <w:r>
        <w:rPr>
          <w:rFonts w:ascii="Calibri" w:hAnsi="Calibri" w:eastAsia="Calibri" w:cs="Calibri"/>
          <w:color w:val="000000"/>
          <w:sz w:val="22"/>
          <w:szCs w:val="22"/>
        </w:rPr>
        <w:t xml:space="preserve">]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13-22; 41-61.</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Nam Y, Park C, Bae YJ and Choi WI (2019) Forecasting spring flight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(Coleoptera: Curculionidae: Scolytinae) in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(Pinales: Pinaceae) forests in the Republic of Korea.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 1481–1488, </w:t>
      </w:r>
      <w:hyperlink r:id="rId6087669e816c6d5a5" w:history="1">
        <w:r>
          <w:rPr>
            <w:rFonts w:ascii="Calibri" w:hAnsi="Calibri" w:eastAsia="Calibri" w:cs="Calibri"/>
            <w:color w:val="0000CC"/>
            <w:sz w:val="22"/>
            <w:szCs w:val="22"/>
            <w:u w:val="single"/>
          </w:rPr>
          <w:t xml:space="preserve">https://doi.org/10.1093/ee/nvz105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XW, Wang HM, Lu Q, Decock C, Li YX and Zhang XY (2017) Taxonomy and pathogenicity of </w:t>
      </w:r>
      <w:r>
        <w:rPr>
          <w:rFonts w:ascii="Calibri" w:hAnsi="Calibri" w:eastAsia="Calibri" w:cs="Calibri"/>
          <w:i/>
          <w:iCs/>
          <w:color w:val="000000"/>
          <w:sz w:val="22"/>
          <w:szCs w:val="22"/>
        </w:rPr>
        <w:t xml:space="preserve">Leptographium</w:t>
      </w:r>
      <w:r>
        <w:rPr>
          <w:rFonts w:ascii="Calibri" w:hAnsi="Calibri" w:eastAsia="Calibri" w:cs="Calibri"/>
          <w:color w:val="000000"/>
          <w:sz w:val="22"/>
          <w:szCs w:val="22"/>
        </w:rPr>
        <w:t xml:space="preserve">, species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infestations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northern China, including two new species. </w:t>
      </w:r>
      <w:r>
        <w:rPr>
          <w:rFonts w:ascii="Calibri" w:hAnsi="Calibri" w:eastAsia="Calibri" w:cs="Calibri"/>
          <w:i/>
          <w:iCs/>
          <w:color w:val="000000"/>
          <w:sz w:val="22"/>
          <w:szCs w:val="22"/>
        </w:rPr>
        <w:t xml:space="preserve">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[Xylophagous pests of forests and timber of Siberia and Far East]. Moscow: Agropromizdat. 208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[Guide on Forest Protection against Pests and Diseases.]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Niemeyer H (1989) [First results with a pheromone trap system for monitoring bark beetles in Lower Saxony and Schleswig-Holstein.] </w:t>
      </w:r>
      <w:r>
        <w:rPr>
          <w:rFonts w:ascii="Calibri" w:hAnsi="Calibri" w:eastAsia="Calibri" w:cs="Calibri"/>
          <w:i/>
          <w:iCs/>
          <w:color w:val="000000"/>
          <w:sz w:val="22"/>
          <w:szCs w:val="22"/>
        </w:rPr>
        <w:t xml:space="preserve">Forst und Holz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114–115 (in German). </w:t>
      </w:r>
    </w:p>
    <w:p>
      <w:pPr>
        <w:widowControl w:val="on"/>
        <w:pBdr/>
        <w:spacing w:before="220" w:after="220" w:line="240" w:lineRule="auto"/>
        <w:ind w:left="0" w:right="0"/>
        <w:jc w:val="left"/>
      </w:pPr>
      <w:r>
        <w:rPr>
          <w:rFonts w:ascii="Calibri" w:hAnsi="Calibri" w:eastAsia="Calibri" w:cs="Calibri"/>
          <w:color w:val="000000"/>
          <w:sz w:val="22"/>
          <w:szCs w:val="22"/>
        </w:rPr>
        <w:t xml:space="preserve">Pfeffer A (1995) Zentral- und Westpaläarktische Borken- und Kernkäfer (Coleoptera: Scolytidae, Platypodidae). </w:t>
      </w:r>
      <w:r>
        <w:rPr>
          <w:rFonts w:ascii="Calibri" w:hAnsi="Calibri" w:eastAsia="Calibri" w:cs="Calibri"/>
          <w:i/>
          <w:iCs/>
          <w:color w:val="000000"/>
          <w:sz w:val="22"/>
          <w:szCs w:val="22"/>
        </w:rPr>
        <w:t xml:space="preserve">Entomologica Basiliensia</w:t>
      </w:r>
      <w:r>
        <w:rPr>
          <w:rFonts w:ascii="Calibri" w:hAnsi="Calibri" w:eastAsia="Calibri" w:cs="Calibri"/>
          <w:color w:val="000000"/>
          <w:sz w:val="22"/>
          <w:szCs w:val="22"/>
        </w:rPr>
        <w:t xml:space="preserve">, Bd. 17. p. 5–310.</w:t>
      </w:r>
    </w:p>
    <w:p>
      <w:pPr>
        <w:widowControl w:val="on"/>
        <w:pBdr/>
        <w:spacing w:before="220" w:after="220" w:line="240" w:lineRule="auto"/>
        <w:ind w:left="0" w:right="0"/>
        <w:jc w:val="left"/>
      </w:pPr>
      <w:r>
        <w:rPr>
          <w:rFonts w:ascii="Calibri" w:hAnsi="Calibri" w:eastAsia="Calibri" w:cs="Calibri"/>
          <w:color w:val="000000"/>
          <w:sz w:val="22"/>
          <w:szCs w:val="22"/>
        </w:rPr>
        <w:t xml:space="preserve">Qiu HG, Fu WJ, Qi YT, He LF and Ling XD (1988) [Studies on the aggregation pheromone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II. The relationship between aggregation behaviour and the host plant tree.] </w:t>
      </w:r>
      <w:r>
        <w:rPr>
          <w:rFonts w:ascii="Calibri" w:hAnsi="Calibri" w:eastAsia="Calibri" w:cs="Calibri"/>
          <w:i/>
          <w:iCs/>
          <w:color w:val="000000"/>
          <w:sz w:val="22"/>
          <w:szCs w:val="22"/>
        </w:rPr>
        <w:t xml:space="preserve">Contributions from Shanghai Institute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67–72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Rebenstorff H. and Francke W. (1982) [The large larch bark beetle: monitoring with attractants?]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450.</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and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HJ (1977) [Experience in the control of the large larch bark beetle in stands of low vitality.]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1115–1116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and Vité JP (1977)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 Kirisits T, Nussbaumer C, Pavlin R and Wingfield MJ (2001) Phylogenetic relationships between the European and Asian eight-spined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5th edn. Ekologiya,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Liu Y, Wang H, Meng X, Liu X, Decock C, Zhang X and Lu Q (2020) Ophiostomatoid fungi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including eight new species from northeastern China.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 </w:t>
      </w:r>
      <w:hyperlink r:id="rId8747669e816c6da8d" w:history="1">
        <w:r>
          <w:rPr>
            <w:rFonts w:ascii="Calibri" w:hAnsi="Calibri" w:eastAsia="Calibri" w:cs="Calibri"/>
            <w:color w:val="0000CC"/>
            <w:sz w:val="22"/>
            <w:szCs w:val="22"/>
            <w:u w:val="single"/>
          </w:rPr>
          <w:t xml:space="preserve">https://doi.org/10.1186/s43008-019-0025-3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Wingfield MJ, Ohsawa M and Kuroda Y (1998) Ophiostomatoid fungi associated with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in Japan and their pathogenicity to Japanese larch.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Yu CM, Guo SP and Cheng DJ (1984) [Study of the larch bark beetle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 Eastern Forestry Institute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27–39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QH, Birgersson G, Schlyter F and Chen GF (2000) Pheromone components in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from China: quantitative variation among attack phases and individuals.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841–858.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EPPO datasheets on pests recommended for regulation. Available online. </w:t>
      </w:r>
      <w:hyperlink r:id="rId2164669e816c6dcc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5981669e816c6ddaf"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49454820" name="name3105669e816c6de2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52669e816c6de2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32764">
    <w:multiLevelType w:val="hybridMultilevel"/>
    <w:lvl w:ilvl="0" w:tplc="79282881">
      <w:start w:val="1"/>
      <w:numFmt w:val="decimal"/>
      <w:lvlText w:val="%1."/>
      <w:lvlJc w:val="left"/>
      <w:pPr>
        <w:ind w:left="720" w:hanging="360"/>
      </w:pPr>
    </w:lvl>
    <w:lvl w:ilvl="1" w:tplc="79282881" w:tentative="1">
      <w:start w:val="1"/>
      <w:numFmt w:val="lowerLetter"/>
      <w:lvlText w:val="%2."/>
      <w:lvlJc w:val="left"/>
      <w:pPr>
        <w:ind w:left="1440" w:hanging="360"/>
      </w:pPr>
    </w:lvl>
    <w:lvl w:ilvl="2" w:tplc="79282881" w:tentative="1">
      <w:start w:val="1"/>
      <w:numFmt w:val="lowerRoman"/>
      <w:lvlText w:val="%3."/>
      <w:lvlJc w:val="right"/>
      <w:pPr>
        <w:ind w:left="2160" w:hanging="180"/>
      </w:pPr>
    </w:lvl>
    <w:lvl w:ilvl="3" w:tplc="79282881" w:tentative="1">
      <w:start w:val="1"/>
      <w:numFmt w:val="decimal"/>
      <w:lvlText w:val="%4."/>
      <w:lvlJc w:val="left"/>
      <w:pPr>
        <w:ind w:left="2880" w:hanging="360"/>
      </w:pPr>
    </w:lvl>
    <w:lvl w:ilvl="4" w:tplc="79282881" w:tentative="1">
      <w:start w:val="1"/>
      <w:numFmt w:val="lowerLetter"/>
      <w:lvlText w:val="%5."/>
      <w:lvlJc w:val="left"/>
      <w:pPr>
        <w:ind w:left="3600" w:hanging="360"/>
      </w:pPr>
    </w:lvl>
    <w:lvl w:ilvl="5" w:tplc="79282881" w:tentative="1">
      <w:start w:val="1"/>
      <w:numFmt w:val="lowerRoman"/>
      <w:lvlText w:val="%6."/>
      <w:lvlJc w:val="right"/>
      <w:pPr>
        <w:ind w:left="4320" w:hanging="180"/>
      </w:pPr>
    </w:lvl>
    <w:lvl w:ilvl="6" w:tplc="79282881" w:tentative="1">
      <w:start w:val="1"/>
      <w:numFmt w:val="decimal"/>
      <w:lvlText w:val="%7."/>
      <w:lvlJc w:val="left"/>
      <w:pPr>
        <w:ind w:left="5040" w:hanging="360"/>
      </w:pPr>
    </w:lvl>
    <w:lvl w:ilvl="7" w:tplc="79282881" w:tentative="1">
      <w:start w:val="1"/>
      <w:numFmt w:val="lowerLetter"/>
      <w:lvlText w:val="%8."/>
      <w:lvlJc w:val="left"/>
      <w:pPr>
        <w:ind w:left="5760" w:hanging="360"/>
      </w:pPr>
    </w:lvl>
    <w:lvl w:ilvl="8" w:tplc="79282881" w:tentative="1">
      <w:start w:val="1"/>
      <w:numFmt w:val="lowerRoman"/>
      <w:lvlText w:val="%9."/>
      <w:lvlJc w:val="right"/>
      <w:pPr>
        <w:ind w:left="6480" w:hanging="180"/>
      </w:pPr>
    </w:lvl>
  </w:abstractNum>
  <w:abstractNum w:abstractNumId="99632763">
    <w:multiLevelType w:val="hybridMultilevel"/>
    <w:lvl w:ilvl="0" w:tplc="24246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32763">
    <w:abstractNumId w:val="99632763"/>
  </w:num>
  <w:num w:numId="99632764">
    <w:abstractNumId w:val="996327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5450656" Type="http://schemas.microsoft.com/office/2011/relationships/commentsExtended" Target="commentsExtended.xml"/><Relationship Id="rId135432882" Type="http://schemas.microsoft.com/office/2011/relationships/people" Target="people.xml"/><Relationship Id="rId4832669e816c6af65" Type="http://schemas.openxmlformats.org/officeDocument/2006/relationships/hyperlink" Target="https://gd.eppo.int/taxon/IPSXFA/" TargetMode="External"/><Relationship Id="rId5028669e816c6afaa" Type="http://schemas.openxmlformats.org/officeDocument/2006/relationships/hyperlink" Target="https://gd.eppo.int/taxon/IPSXFA/categorization" TargetMode="External"/><Relationship Id="rId2630669e816c6b1b0" Type="http://schemas.openxmlformats.org/officeDocument/2006/relationships/hyperlink" Target="https://gd.eppo.int/taxon/IPSXFA/photos" TargetMode="External"/><Relationship Id="rId4675669e816c6ce5e" Type="http://schemas.openxmlformats.org/officeDocument/2006/relationships/hyperlink" Target="https://www.cabi.org/isc/datasheet/28841" TargetMode="External"/><Relationship Id="rId2944669e816c6cfb6" Type="http://schemas.openxmlformats.org/officeDocument/2006/relationships/hyperlink" Target="http://cjai.biologicalsurvey.ca/dcgs_38/dcgs_38.html" TargetMode="External"/><Relationship Id="rId7548669e816c6d047" Type="http://schemas.openxmlformats.org/officeDocument/2006/relationships/hyperlink" Target="https://doi.org/10.2903/j.efsa.2017.5039" TargetMode="External"/><Relationship Id="rId4672669e816c6d101" Type="http://schemas.openxmlformats.org/officeDocument/2006/relationships/hyperlink" Target="https://doi.org/10.1111/j.1365-2338.2005.00880.x" TargetMode="External"/><Relationship Id="rId2008669e816c6d262" Type="http://schemas.openxmlformats.org/officeDocument/2006/relationships/hyperlink" Target="https://gd.eppo.int/taxon/IPSXCE/datasheet" TargetMode="External"/><Relationship Id="rId6087669e816c6d5a5" Type="http://schemas.openxmlformats.org/officeDocument/2006/relationships/hyperlink" Target="https://doi.org/10.1093/ee/nvz105" TargetMode="External"/><Relationship Id="rId8747669e816c6da8d" Type="http://schemas.openxmlformats.org/officeDocument/2006/relationships/hyperlink" Target="https://doi.org/10.1186/s43008-019-0025-3" TargetMode="External"/><Relationship Id="rId2164669e816c6dcc1" Type="http://schemas.openxmlformats.org/officeDocument/2006/relationships/hyperlink" Target="https://gd.eppo.int" TargetMode="External"/><Relationship Id="rId5981669e816c6ddaf" Type="http://schemas.openxmlformats.org/officeDocument/2006/relationships/hyperlink" Target="https://doi.org/10.1111/j.1365-2338.2005.00880.x" TargetMode="External"/><Relationship Id="rId7452669e816c6b08c" Type="http://schemas.openxmlformats.org/officeDocument/2006/relationships/image" Target="media/imgrId7452669e816c6b08c.jpg"/><Relationship Id="rId1989669e816c6bfcc" Type="http://schemas.openxmlformats.org/officeDocument/2006/relationships/image" Target="media/imgrId1989669e816c6bfcc.jpg"/><Relationship Id="rId5052669e816c6de21" Type="http://schemas.openxmlformats.org/officeDocument/2006/relationships/image" Target="media/imgrId5052669e816c6de2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