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sexdentatus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sexdentatus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(Börner)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pinastri</w:t>
            </w:r>
            <w:r>
              <w:rPr>
                <w:rFonts w:ascii="Calibri" w:hAnsi="Calibri" w:eastAsia="Calibri" w:cs="Calibri"/>
                <w:color w:val="000000"/>
                <w:position w:val="-3"/>
                <w:sz w:val="22"/>
                <w:szCs w:val="22"/>
              </w:rPr>
              <w:t xml:space="preserve"> Bechstein, </w:t>
            </w:r>
            <w:r>
              <w:rPr>
                <w:rFonts w:ascii="Calibri" w:hAnsi="Calibri" w:eastAsia="Calibri" w:cs="Calibri"/>
                <w:i/>
                <w:iCs/>
                <w:color w:val="000000"/>
                <w:position w:val="-3"/>
                <w:sz w:val="22"/>
                <w:szCs w:val="22"/>
              </w:rPr>
              <w:t xml:space="preserve">Bostrichus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Dermestes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Ips stenographus</w:t>
            </w:r>
            <w:r>
              <w:rPr>
                <w:rFonts w:ascii="Calibri" w:hAnsi="Calibri" w:eastAsia="Calibri" w:cs="Calibri"/>
                <w:color w:val="000000"/>
                <w:position w:val="-3"/>
                <w:sz w:val="22"/>
                <w:szCs w:val="22"/>
              </w:rPr>
              <w:t xml:space="preserve"> (Duftschmidt), </w:t>
            </w:r>
            <w:r>
              <w:rPr>
                <w:rFonts w:ascii="Calibri" w:hAnsi="Calibri" w:eastAsia="Calibri" w:cs="Calibri"/>
                <w:i/>
                <w:iCs/>
                <w:color w:val="000000"/>
                <w:position w:val="-3"/>
                <w:sz w:val="22"/>
                <w:szCs w:val="22"/>
              </w:rPr>
              <w:t xml:space="preserve">Tomicus sexdentatus</w:t>
            </w:r>
            <w:r>
              <w:rPr>
                <w:rFonts w:ascii="Calibri" w:hAnsi="Calibri" w:eastAsia="Calibri" w:cs="Calibri"/>
                <w:color w:val="000000"/>
                <w:position w:val="-3"/>
                <w:sz w:val="22"/>
                <w:szCs w:val="22"/>
              </w:rPr>
              <w:t xml:space="preserve"> (Börner), </w:t>
            </w:r>
            <w:r>
              <w:rPr>
                <w:rFonts w:ascii="Calibri" w:hAnsi="Calibri" w:eastAsia="Calibri" w:cs="Calibri"/>
                <w:i/>
                <w:iCs/>
                <w:color w:val="000000"/>
                <w:position w:val="-3"/>
                <w:sz w:val="22"/>
                <w:szCs w:val="22"/>
              </w:rPr>
              <w:t xml:space="preserve">Tomicus stenographus</w:t>
            </w:r>
            <w:r>
              <w:rPr>
                <w:rFonts w:ascii="Calibri" w:hAnsi="Calibri" w:eastAsia="Calibri" w:cs="Calibri"/>
                <w:color w:val="000000"/>
                <w:position w:val="-3"/>
                <w:sz w:val="22"/>
                <w:szCs w:val="22"/>
              </w:rPr>
              <w:t xml:space="preserve"> Duftschmidt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six-toothed bark beetle</w:t>
            </w:r>
            <w:hyperlink r:id="rId4344676c61ed6a6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446676c61ed6a6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326889" name="name5549676c61ed6af83" descr="1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jpg"/>
                          <pic:cNvPicPr/>
                        </pic:nvPicPr>
                        <pic:blipFill>
                          <a:blip r:embed="rId5975676c61ed6af80" cstate="print"/>
                          <a:stretch>
                            <a:fillRect/>
                          </a:stretch>
                        </pic:blipFill>
                        <pic:spPr>
                          <a:xfrm>
                            <a:off x="0" y="0"/>
                            <a:ext cx="2160000" cy="1281600"/>
                          </a:xfrm>
                          <a:prstGeom prst="rect">
                            <a:avLst/>
                          </a:prstGeom>
                          <a:ln w="0">
                            <a:noFill/>
                          </a:ln>
                        </pic:spPr>
                      </pic:pic>
                    </a:graphicData>
                  </a:graphic>
                </wp:inline>
              </w:drawing>
            </w:r>
            <w:hyperlink r:id="rId9706676c61ed6b4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attacks mainly pines. In Northern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found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in Central and Southern Europe it is also found on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heldreichii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Turkey, Georgia and Southern Russia, it occurs on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It is occasionally recorded on species of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Asia,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other species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 subsp. pityusa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heldreichii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salzmannii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widely distributed in European countries, but the pest is absent in Ireland, Cyprus and parts of the United Kingdom (Northern Ireland and the Isle of Man) (Protected Zones). The pest is widely spread in Asia: Russia (Siberia, Far East), China, Japan, Mongolia, Myanmar, Thailand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0377665" name="name4340676c61ed6cd68" descr="IPSX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SE_distribution_map.jpg"/>
                    <pic:cNvPicPr/>
                  </pic:nvPicPr>
                  <pic:blipFill>
                    <a:blip r:embed="rId8875676c61ed6cd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Austria, Azerbaijan, Belarus, Belgium, Bosnia and Herzegovina, Bulgaria, Croatia, Czech Republic, Estonia, Finland, France (mainland), Georgia, Germany, Greece (mainland), Hungary, Italy (mainland, Sardegna, Sicilia), Kazakhstan, Latvia, Lithuania, Luxembourg, Moldova, Montenegro, Netherlands, North Macedonia, Norway, Poland, Portugal (mainland), Romania, Russia (Central Russia, Eastern Siberia, Far East, Northern Russia, Southern Russia, Western Siberia), Serbia, Slovakia, Slovenia, Spain (mainland), Sweden, Switzerland, Türkiye, Ukraine,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Shaanxi, Shanxi, Sichuan, Yunnan), Japan, Kazakhstan, Korea Dem. People's Republic, Korea, Republic, Mongolia, Myanmar,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only one annual generation north of the Arctic Circle, two generations in central areas of Eurasia and up to five generations in the Mediterranean area and in other areas with a long, warm summer season. The spring flight starts when the temperature exceeds about 20°C; in the north this is in May/June, and in more southern areas in March/April. The male beetle initiates the boring and releases an aggregation pheromone consisting mainly of ipsdienol (Vité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After having excavated a nuptial chamber in the phloem, each male is joined by one to five females, which each bore a maternal gallery in the phloem, parallel to the fibres. Single eggs are laid at regular intervals along these galleries. After oviposition, the parent adults re-emerge and often establish sister broods either on the same tree or on a new host-tree. Each larva excavates an individual gallery perpendicular to the maternal gallery. Pupation occurs in a small niche in the phloem, at the end of the larval gallery. Productivity varies between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Brood development from the start of gallery construction until 1 and 60 offspring per female and is inversely correlated to attack density (the emergence of the new generation adults may take 2-3 weeks at a constant laboratory temperature of 27°C and 3-4 weeks at 22°C. No gallery construction and brood production is observed a constant temperature of 12°C.  Overwintering takes place as adults under the bark, in stump cracks or in forest litter. The supercooling point in hibernating adults is about -19°C, whereas in larvae it is only -9°C (Bakke, 1968). Pathogenic ophiostomatoid fungi may be carried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beetles, some of them in pit mycangia on the body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are inoculated to the host tree (Kirisits, 2004; Romon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Jankowiak, 2012). They cause blue staining of the wood and some of them can contribute to tree death.  A general description of the biology and ecology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provided by Chararas (1962), Bakke (1968) and Levieux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cited in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occurs under thick bark on plant hosts. The gallery system has two to four female galleries up to about 1 m in length, half running in one direction half running in the opposite direction. Larval galleries are 8-10 cm long. The wood under the gallery is stained blue from fungi transferred by the beetles (Chararas, 1962). As in the case of other conifer bark beetles,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acts as a vector for a bluestain fungus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which also damages the tree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the largest beetle of the genus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at 6-8 mm in length. The adults are dark brown or black and cylindrical. Both sexes have six spines at each side of the elytral declivity. The fourth spine is the largest and is capitate. Only the female has a longitudinal stridulatory organ on the upper hind part of the head. The larvae are legless, with a dark amber cephalic capsule (Balachowsky, 1949; Chararas, 1962; Grüne, 1979;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be detected by visual examination, often after damage symptoms are seen, and by pheromone trapping. The species can be identified by examining morphological features, for which taxonomic keys exist, e.g. Grune (1979); Schedl (1981); Wood (1982);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standing trees attacked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die during the colonisation process, with an obvious discolouration of their crown, which becomes brown and then grey after the needles have shed. During the attacks, brown sawdust is expelled from the entry holes and, when the broods have metamorphosed and the young adults start feeding on the phloem around the galleries, the bark can flake off. This phenomenon can be amplified by the action of woodpeckers. Within and under the phloem, maternal galleries, parallel to the fibres and up to 50 cm long, and transversal larval galleries can be seen. Pheromone lures and traps are commercially available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but, because of the large dispersal capacity of the pest, trap catches do not necessarily reflect correctly local establishment. The sapwood of trees shows blue staining due to the fungi introduced by the beetles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Jactel &amp; Gaillard (1991) found, for example, that in a sample of 38 beetles, 98% could fly &gt;5 km, 50% &gt;20 km and 10% &gt;45 km. The speed of flight was constant and equalled 1.3 m/s. In the field, however, flight has only been observed to take place over limited distances and then usually downwind. Beetles have been found in the stomach of trout in lakes 35 km from the nearest spruce forest, probably carried by the wind (Nilssen, 1978). Dispersal over longer distances occurs via transportation of the pest under the bark of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of low significance as a pest in Northern and Central Europe. In Europe,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preferentially colonise weakened pines, cut logs or wind-felled trees, trees affected by forest fires or drought-stressed trees (EFSA, 2017). The infestation by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suffering from drought stress in Central and Southern France, Northern Spain and Portugal, has resulted in pine death (Goix, 1977; Perrot, 1977;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Ferreira &amp; Ferreira, 1986; Lieutier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Cobos-Suarez &amp; Ruiz-Urrestarazu, 1990).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often attacks trees together with other pests (</w:t>
      </w:r>
      <w:r>
        <w:rPr>
          <w:rFonts w:ascii="Calibri" w:hAnsi="Calibri" w:eastAsia="Calibri" w:cs="Calibri"/>
          <w:i/>
          <w:iCs/>
          <w:color w:val="000000"/>
          <w:sz w:val="22"/>
          <w:szCs w:val="22"/>
        </w:rPr>
        <w:t xml:space="preserve">Ips</w:t>
      </w:r>
      <w:r>
        <w:rPr>
          <w:rFonts w:ascii="Calibri" w:hAnsi="Calibri" w:eastAsia="Calibri" w:cs="Calibri"/>
          <w:i/>
          <w:iCs/>
          <w:color w:val="000000"/>
          <w:sz w:val="22"/>
          <w:szCs w:val="22"/>
        </w:rPr>
        <w:t xml:space="preserve"> acuminatus, Tomicus piniperda</w:t>
      </w:r>
      <w:r>
        <w:rPr>
          <w:rFonts w:ascii="Calibri" w:hAnsi="Calibri" w:eastAsia="Calibri" w:cs="Calibri"/>
          <w:color w:val="000000"/>
          <w:sz w:val="22"/>
          <w:szCs w:val="22"/>
        </w:rPr>
        <w:t xml:space="preserve">).  The pest carries pathogenic ophiostomatoid fungi. These cause blue staining of the wood and some of them can contribute to tree death. However,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can also attack living trees when population levels are high (Rossi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Turkey and Georgia,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 major primary pest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attacking living trees (Schimitschek, 1939; Lozovoj, 1966; Ozcan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often associated with pine plantations of 50-100 years old (Izhevsky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are similar to those used for the control of other bark beetle species. The most effective measure is to remove infested trees from the forest before the new generation of adult beetles emerges. Sanitation felling of infested trees involves the harvesting of windthrown trees (to remove breeding substrates), as well as the felling of infested standing trees. In order to prevent the further development of bark beetles (pupae or young adults inside the bark) the immediate debarking of logs is recommended, followed by the destruction, processing or composting of the bark. Pheromone mass-trapping can also be implemented locally. Quarantine measures should be implemented to prevent entry into the zones, where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absent. The main pathways of entry are: wood commodities of plant hosts, bark and wood packaging material (including dunnage) from countries where the pest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not recommended for regulation as a quarantine pest by EPPO. It is not generally a primary pest and is only capable of attacking trees already suffering stress, either environmental or from other pests. It is already very widespread in Europe. It is a protected zone quarantine pest in Ireland and Cyprus under the EU regulations (EPPO GD, online, accessed in 2021; EFSA, 2017) and it had the same status in the United Kingdom (for Northern Ireland and Isle of Man) until the end of 2020. These are the principal areas facing a certain risk from this pest.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is unlikely to spread to these areas naturally, therefore phytosanitary measures could be justified. However, it should be stressed that </w:t>
      </w:r>
      <w:r>
        <w:rPr>
          <w:rFonts w:ascii="Calibri" w:hAnsi="Calibri" w:eastAsia="Calibri" w:cs="Calibri"/>
          <w:i/>
          <w:iCs/>
          <w:color w:val="000000"/>
          <w:sz w:val="22"/>
          <w:szCs w:val="22"/>
        </w:rPr>
        <w:t xml:space="preserve">I. sexdentatus </w:t>
      </w:r>
      <w:r>
        <w:rPr>
          <w:rFonts w:ascii="Calibri" w:hAnsi="Calibri" w:eastAsia="Calibri" w:cs="Calibri"/>
          <w:color w:val="000000"/>
          <w:sz w:val="22"/>
          <w:szCs w:val="22"/>
        </w:rPr>
        <w:t xml:space="preserve">is a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presents a much lower risk than that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commodities, bark and wood packaging material are considered as pathways for this pest, which is also able to disperse by flight over tens of kilometres.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regularly intercepted on wood, wood packaging material and dunnage. During the period from 1985–2000, among the 2 740 Scolytinae intercepted at the US ports of entry and identified to species, 157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were found (Haack, 2001). In the Europhyt database, there are in total 66 interceptions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 the EU countries (in 1994–2017), all on coniferous wood or wood packaging material. For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there were two records of interceptions, one from Bulgaria on coniferous wood and one from Ukraine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wood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measures equivalent to those taken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would be effective.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sexdentatus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(1968) Ecological studies on bark beetles (Coleoptera: Scolytidae) associated with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Norway with particular reference to the influence of temperature. </w:t>
      </w:r>
      <w:r>
        <w:rPr>
          <w:rFonts w:ascii="Calibri" w:hAnsi="Calibri" w:eastAsia="Calibri" w:cs="Calibri"/>
          <w:i/>
          <w:iCs/>
          <w:color w:val="000000"/>
          <w:sz w:val="22"/>
          <w:szCs w:val="22"/>
        </w:rPr>
        <w:t xml:space="preserve">Meddelelser fra Det Norske Skogforsöksvesen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441-602.</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Bueno A, Diez JJ &amp; Fernandez MM (2010) Ophiostomatoid Fungi Transported by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(Coleoptera, Scolytidae) in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NW Spain.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 Encyclopédie Entomologique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Cobos-Suarez JM &amp; Ruiz-Urrestarazu MM (1990) [Phytosanitary problems of the species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with special reference to the Basque country].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37-53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hyperlink r:id="rId8144676c61ed6e049" w:history="1">
        <w:r>
          <w:rPr>
            <w:rFonts w:ascii="Calibri" w:hAnsi="Calibri" w:eastAsia="Calibri" w:cs="Calibri"/>
            <w:color w:val="0000CC"/>
            <w:sz w:val="22"/>
            <w:szCs w:val="22"/>
            <w:u w:val="single"/>
          </w:rPr>
          <w:t xml:space="preserve">http://cjai.biologicalsurvey.ca/dcgs_38/dcgs_38.html</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(EFSA Panel on Plant Health), Jeger M, Bragard C, Caffier D, Candresse T, Chatzivassiliou E, Dehnen-Schmutz K, Gilioli G, Jaques Miret JA, MacLeod A, Navajas Navarro M, Niere B, Parnell S, Potting R, Rafoss T, Rossi V, Urek G, Van Bruggen A, Van der Werf W, West J, Winter S, Kertesz V, Aukhojee M &amp; and Gregoire J-C. Scientific Opinion on the pest categorisation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 McNamara D, Scott P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48 </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MC &amp; Ferreira GWS (1986) [Pests of maritime pine in Portugal - scolytids]. </w:t>
      </w:r>
      <w:r>
        <w:rPr>
          <w:rFonts w:ascii="Calibri" w:hAnsi="Calibri" w:eastAsia="Calibri" w:cs="Calibri"/>
          <w:i/>
          <w:iCs/>
          <w:color w:val="000000"/>
          <w:sz w:val="22"/>
          <w:szCs w:val="22"/>
        </w:rPr>
        <w:t xml:space="preserve">Boletim Agricola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Goix J (1977) Le dépérissement des pins dans la région 'Centre'.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1985–2000. </w:t>
      </w:r>
      <w:r>
        <w:rPr>
          <w:rFonts w:ascii="Calibri" w:hAnsi="Calibri" w:eastAsia="Calibri" w:cs="Calibri"/>
          <w:i/>
          <w:iCs/>
          <w:color w:val="000000"/>
          <w:sz w:val="22"/>
          <w:szCs w:val="22"/>
        </w:rPr>
        <w:t xml:space="preserve">Integrated Pest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Izhevsky SS, Nikitsky NB, Volkov OG &amp; Dolgin MM (2005) [</w:t>
      </w:r>
      <w:r>
        <w:rPr>
          <w:rFonts w:ascii="Calibri" w:hAnsi="Calibri" w:eastAsia="Calibri" w:cs="Calibri"/>
          <w:i/>
          <w:iCs/>
          <w:color w:val="000000"/>
          <w:sz w:val="22"/>
          <w:szCs w:val="22"/>
        </w:rPr>
        <w:t xml:space="preserve">Illustrated guide to coleopteran - xylophagous pests of forests and timber of Russia</w:t>
      </w:r>
      <w:r>
        <w:rPr>
          <w:rFonts w:ascii="Calibri" w:hAnsi="Calibri" w:eastAsia="Calibri" w:cs="Calibri"/>
          <w:color w:val="000000"/>
          <w:sz w:val="22"/>
          <w:szCs w:val="22"/>
        </w:rPr>
        <w:t xml:space="preserve">],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Tula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(2012) Ophiostomatoid fungi associated with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sylvestris </w:t>
      </w:r>
      <w:r>
        <w:rPr>
          <w:rFonts w:ascii="Calibri" w:hAnsi="Calibri" w:eastAsia="Calibri" w:cs="Calibri"/>
          <w:color w:val="000000"/>
          <w:sz w:val="22"/>
          <w:szCs w:val="22"/>
        </w:rPr>
        <w:t xml:space="preserve">in Poland.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KR, Battisti A, Gregoire JC &amp; Evans HF), pp. 181–236.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(1984) Impact économique des scolytides: voies de recherches. </w:t>
      </w:r>
      <w:r>
        <w:rPr>
          <w:rFonts w:ascii="Calibri" w:hAnsi="Calibri" w:eastAsia="Calibri" w:cs="Calibri"/>
          <w:i/>
          <w:iCs/>
          <w:color w:val="000000"/>
          <w:sz w:val="22"/>
          <w:szCs w:val="22"/>
        </w:rPr>
        <w:t xml:space="preserve">Comptes Rendus des Séances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835-843.</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Cheniclet C &amp; Garcia J (1989) Comparison of the defense reactions of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attacks by two bark beetles (Coleoptera: Scolytidae) and their associated fungi. </w:t>
      </w:r>
      <w:r>
        <w:rPr>
          <w:rFonts w:ascii="Calibri" w:hAnsi="Calibri" w:eastAsia="Calibri" w:cs="Calibri"/>
          <w:i/>
          <w:iCs/>
          <w:color w:val="000000"/>
          <w:sz w:val="22"/>
          <w:szCs w:val="22"/>
        </w:rPr>
        <w:t xml:space="preserve">Environmental-Entomology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228-234.</w:t>
      </w:r>
    </w:p>
    <w:p>
      <w:pPr>
        <w:widowControl w:val="on"/>
        <w:pBdr/>
        <w:spacing w:before="220" w:after="220" w:line="240" w:lineRule="auto"/>
        <w:ind w:left="0" w:right="0"/>
        <w:jc w:val="left"/>
      </w:pPr>
      <w:r>
        <w:rPr>
          <w:rFonts w:ascii="Calibri" w:hAnsi="Calibri" w:eastAsia="Calibri" w:cs="Calibri"/>
          <w:color w:val="000000"/>
          <w:sz w:val="22"/>
          <w:szCs w:val="22"/>
        </w:rPr>
        <w:t xml:space="preserve">Lieutier F, Faure T &amp; Garcia J (1988) Les attaques de scolytes et le dépérissement du pin sylvestre dans la région Provence-Côte d ’Azur.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224–232.</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Cassier P, Guillaumin D &amp; Roques A (1991) Structures implicated in the transportation of pathogenic fungi by the European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 ultrastructure of a mycangium.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245–254. </w:t>
      </w:r>
    </w:p>
    <w:p>
      <w:pPr>
        <w:widowControl w:val="on"/>
        <w:pBdr/>
        <w:spacing w:before="220" w:after="220" w:line="240" w:lineRule="auto"/>
        <w:ind w:left="0" w:right="0"/>
        <w:jc w:val="left"/>
      </w:pPr>
      <w:r>
        <w:rPr>
          <w:rFonts w:ascii="Calibri" w:hAnsi="Calibri" w:eastAsia="Calibri" w:cs="Calibri"/>
          <w:color w:val="000000"/>
          <w:sz w:val="22"/>
          <w:szCs w:val="22"/>
        </w:rPr>
        <w:t xml:space="preserve">Levieux J, Lieutier F &amp; Delplanque A (1985) Les Scolytes ravageurs du Pin sylvestre. </w:t>
      </w:r>
      <w:r>
        <w:rPr>
          <w:rFonts w:ascii="Calibri" w:hAnsi="Calibri" w:eastAsia="Calibri" w:cs="Calibri"/>
          <w:i/>
          <w:iCs/>
          <w:color w:val="000000"/>
          <w:sz w:val="22"/>
          <w:szCs w:val="22"/>
        </w:rPr>
        <w:t xml:space="preserve">Revue Forestiere Francaise,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431–440.</w:t>
      </w:r>
    </w:p>
    <w:p>
      <w:pPr>
        <w:widowControl w:val="on"/>
        <w:pBdr/>
        <w:spacing w:before="220" w:after="220" w:line="240" w:lineRule="auto"/>
        <w:ind w:left="0" w:right="0"/>
        <w:jc w:val="left"/>
      </w:pPr>
      <w:r>
        <w:rPr>
          <w:rFonts w:ascii="Calibri" w:hAnsi="Calibri" w:eastAsia="Calibri" w:cs="Calibri"/>
          <w:color w:val="000000"/>
          <w:sz w:val="22"/>
          <w:szCs w:val="22"/>
        </w:rPr>
        <w:t xml:space="preserve">Lozovoj DI (1966) [Economically important species of bark beetles in the conifer (Spruce) stands of Soviet Georgia, and their control]. From CAB Direct. </w:t>
      </w:r>
      <w:hyperlink r:id="rId9434676c61ed6e9bf" w:history="1">
        <w:r>
          <w:rPr>
            <w:rFonts w:ascii="Calibri" w:hAnsi="Calibri" w:eastAsia="Calibri" w:cs="Calibri"/>
            <w:color w:val="0000CC"/>
            <w:sz w:val="22"/>
            <w:szCs w:val="22"/>
            <w:u w:val="single"/>
          </w:rPr>
          <w:t xml:space="preserve">https://www.cabdirect.org/cabdirect/abstract/19660601005</w:t>
        </w:r>
      </w:hyperlink>
      <w:r>
        <w:rPr>
          <w:rFonts w:ascii="Calibri" w:hAnsi="Calibri" w:eastAsia="Calibri" w:cs="Calibri"/>
          <w:color w:val="000000"/>
          <w:sz w:val="22"/>
          <w:szCs w:val="22"/>
        </w:rPr>
        <w:t xml:space="preserve"> [Accessed: 14 June 2017]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Ozcan GE, Eroglu M &amp; Akinci HA (2011) Use of pheromone-baited traps for monitoring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(Boerner) (Coleoptera: Curculionidae) in oriental spruce stands.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351-360. </w:t>
      </w:r>
    </w:p>
    <w:p>
      <w:pPr>
        <w:widowControl w:val="on"/>
        <w:pBdr/>
        <w:spacing w:before="220" w:after="220" w:line="240" w:lineRule="auto"/>
        <w:ind w:left="0" w:right="0"/>
        <w:jc w:val="left"/>
      </w:pPr>
      <w:r>
        <w:rPr>
          <w:rFonts w:ascii="Calibri" w:hAnsi="Calibri" w:eastAsia="Calibri" w:cs="Calibri"/>
          <w:color w:val="000000"/>
          <w:sz w:val="22"/>
          <w:szCs w:val="22"/>
        </w:rPr>
        <w:t xml:space="preserve">Paiva MR, Pessoa MF &amp; Vité JP (1988) Reduction in the pheromone attractant response of </w:t>
      </w:r>
      <w:r>
        <w:rPr>
          <w:rFonts w:ascii="Calibri" w:hAnsi="Calibri" w:eastAsia="Calibri" w:cs="Calibri"/>
          <w:i/>
          <w:iCs/>
          <w:color w:val="000000"/>
          <w:sz w:val="22"/>
          <w:szCs w:val="22"/>
        </w:rPr>
        <w:t xml:space="preserve">Orthotomicus erosus</w:t>
      </w:r>
      <w:r>
        <w:rPr>
          <w:rFonts w:ascii="Calibri" w:hAnsi="Calibri" w:eastAsia="Calibri" w:cs="Calibri"/>
          <w:color w:val="000000"/>
          <w:sz w:val="22"/>
          <w:szCs w:val="22"/>
        </w:rPr>
        <w:t xml:space="preserve"> (Woll.) and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Boern. (Col., Scolytidae).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198-200.</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M (1977) Les attaques de scolytes sur les pins de la région centre.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185-198.</w:t>
      </w:r>
    </w:p>
    <w:p>
      <w:pPr>
        <w:widowControl w:val="on"/>
        <w:pBdr/>
        <w:spacing w:before="220" w:after="220" w:line="240" w:lineRule="auto"/>
        <w:ind w:left="0" w:right="0"/>
        <w:jc w:val="left"/>
      </w:pPr>
      <w:r>
        <w:rPr>
          <w:rFonts w:ascii="Calibri" w:hAnsi="Calibri" w:eastAsia="Calibri" w:cs="Calibri"/>
          <w:color w:val="000000"/>
          <w:sz w:val="22"/>
          <w:szCs w:val="22"/>
        </w:rPr>
        <w:t xml:space="preserve">Pineau X, Bourguignon M, Jactel H, Lieutier F &amp; Salle A (2017) Pyrrhic victory for bark beetles: successful standing tree colonization triggers strong intraspecific competition for offspring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399</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Romon P, Troya M, Fernandez de Gamarra ME, Eguzkitza A, Iturrondobeitia JC &amp; Goldarazenaet A (2008) Fungal communities associated with pitch canker disease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northern Spain: association with insects and pathogen-saprophyte antagonistic interactions.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Pathology-Revue Canadienne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241–253. </w:t>
      </w:r>
    </w:p>
    <w:p>
      <w:pPr>
        <w:widowControl w:val="on"/>
        <w:pBdr/>
        <w:spacing w:before="220" w:after="220" w:line="240" w:lineRule="auto"/>
        <w:ind w:left="0" w:right="0"/>
        <w:jc w:val="left"/>
      </w:pPr>
      <w:r>
        <w:rPr>
          <w:rFonts w:ascii="Calibri" w:hAnsi="Calibri" w:eastAsia="Calibri" w:cs="Calibri"/>
          <w:color w:val="000000"/>
          <w:sz w:val="22"/>
          <w:szCs w:val="22"/>
        </w:rPr>
        <w:t xml:space="preserve">Rossi JP, Samalens JC, Guyon D, Van Halder I, Jactel H, Menassieu P &amp; Piou D (2009) Multiscale spatial variation of the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damage in a pine plantation forest (Landes de Gascogne, Southwestern France).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 1551–1557.</w:t>
      </w:r>
    </w:p>
    <w:p>
      <w:pPr>
        <w:widowControl w:val="on"/>
        <w:pBdr/>
        <w:spacing w:before="220" w:after="220" w:line="240" w:lineRule="auto"/>
        <w:ind w:left="0" w:right="0"/>
        <w:jc w:val="left"/>
      </w:pPr>
      <w:r>
        <w:rPr>
          <w:rFonts w:ascii="Calibri" w:hAnsi="Calibri" w:eastAsia="Calibri" w:cs="Calibri"/>
          <w:color w:val="000000"/>
          <w:sz w:val="22"/>
          <w:szCs w:val="22"/>
        </w:rPr>
        <w:t xml:space="preserve">Schedl KE (1981) Familie: Scolytidae (Borken- und Ambrosiakafer). In</w:t>
      </w:r>
      <w:r>
        <w:rPr>
          <w:rFonts w:ascii="Calibri" w:hAnsi="Calibri" w:eastAsia="Calibri" w:cs="Calibri"/>
          <w:i/>
          <w:iCs/>
          <w:color w:val="000000"/>
          <w:sz w:val="22"/>
          <w:szCs w:val="22"/>
        </w:rPr>
        <w:t xml:space="preserve"> Die Kafer Mitteleuropas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Freude H, Harde KW &amp; Lohse GA), pp. 34–99. Goecke &amp; Evers, Krefeld (DE).</w:t>
      </w:r>
    </w:p>
    <w:p>
      <w:pPr>
        <w:widowControl w:val="on"/>
        <w:pBdr/>
        <w:spacing w:before="220" w:after="220" w:line="240" w:lineRule="auto"/>
        <w:ind w:left="0" w:right="0"/>
        <w:jc w:val="left"/>
      </w:pPr>
      <w:r>
        <w:rPr>
          <w:rFonts w:ascii="Calibri" w:hAnsi="Calibri" w:eastAsia="Calibri" w:cs="Calibri"/>
          <w:color w:val="000000"/>
          <w:sz w:val="22"/>
          <w:szCs w:val="22"/>
        </w:rPr>
        <w:t xml:space="preserve">Schimitschek E (1939) [The mass reproduction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Börner in regions of oriental spruce.]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545-588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Vité JP, Bakke A &amp; Hughes PR (1974) [A population attractant for the six-toothed bark beetle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365-366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w:t>
      </w:r>
      <w:r>
        <w:rPr>
          <w:rFonts w:ascii="Calibri" w:hAnsi="Calibri" w:eastAsia="Calibri" w:cs="Calibri"/>
          <w:i/>
          <w:iCs/>
          <w:color w:val="000000"/>
          <w:sz w:val="22"/>
          <w:szCs w:val="22"/>
        </w:rPr>
        <w:t xml:space="preserve">The bark and ambrosia beetles of North and Central America (Coleoptera: Scolytidae), a taxonomic monograph</w:t>
      </w:r>
      <w:r>
        <w:rPr>
          <w:rFonts w:ascii="Calibri" w:hAnsi="Calibri" w:eastAsia="Calibri" w:cs="Calibri"/>
          <w:color w:val="000000"/>
          <w:sz w:val="22"/>
          <w:szCs w:val="22"/>
        </w:rPr>
        <w:t xml:space="preserve">. Brigham Young University, Provo (US).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CABI Invasive Species Compendium, online. </w:t>
      </w:r>
      <w:r>
        <w:rPr>
          <w:rFonts w:ascii="Calibri" w:hAnsi="Calibri" w:eastAsia="Calibri" w:cs="Calibri"/>
          <w:i/>
          <w:iCs/>
          <w:color w:val="000000"/>
          <w:sz w:val="22"/>
          <w:szCs w:val="22"/>
        </w:rPr>
        <w:t xml:space="preserve">Ips sexdentatus </w:t>
      </w:r>
      <w:r>
        <w:rPr>
          <w:rFonts w:ascii="Calibri" w:hAnsi="Calibri" w:eastAsia="Calibri" w:cs="Calibri"/>
          <w:color w:val="000000"/>
          <w:sz w:val="22"/>
          <w:szCs w:val="22"/>
        </w:rPr>
        <w:t xml:space="preserve">(six-toothed bark beetle). https://www.cabi.org/ [Accessed: 19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Pest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(2017) EFSA Journal 15. </w:t>
      </w:r>
      <w:hyperlink r:id="rId1558676c61ed6f0a1" w:history="1">
        <w:r>
          <w:rPr>
            <w:rFonts w:ascii="Calibri" w:hAnsi="Calibri" w:eastAsia="Calibri" w:cs="Calibri"/>
            <w:color w:val="0000CC"/>
            <w:sz w:val="22"/>
            <w:szCs w:val="22"/>
            <w:u w:val="single"/>
          </w:rPr>
          <w:t xml:space="preserve">https://doi.org/10.2903/j.efsa.2017.4999</w:t>
        </w:r>
      </w:hyperlink>
      <w:r>
        <w:rPr>
          <w:rFonts w:ascii="Calibri" w:hAnsi="Calibri" w:eastAsia="Calibri" w:cs="Calibri"/>
          <w:color w:val="000000"/>
          <w:sz w:val="22"/>
          <w:szCs w:val="22"/>
        </w:rPr>
        <w:t xml:space="preserve"> [Accessed: 24 February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EPPO datasheets on pests recommended for regulation. Available online. </w:t>
      </w:r>
      <w:hyperlink r:id="rId2484676c61ed6f1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217856" name="name5764676c61ed6f4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39676c61ed6f4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45004">
    <w:multiLevelType w:val="hybridMultilevel"/>
    <w:lvl w:ilvl="0" w:tplc="90848670">
      <w:start w:val="1"/>
      <w:numFmt w:val="decimal"/>
      <w:lvlText w:val="%1."/>
      <w:lvlJc w:val="left"/>
      <w:pPr>
        <w:ind w:left="720" w:hanging="360"/>
      </w:pPr>
    </w:lvl>
    <w:lvl w:ilvl="1" w:tplc="90848670" w:tentative="1">
      <w:start w:val="1"/>
      <w:numFmt w:val="lowerLetter"/>
      <w:lvlText w:val="%2."/>
      <w:lvlJc w:val="left"/>
      <w:pPr>
        <w:ind w:left="1440" w:hanging="360"/>
      </w:pPr>
    </w:lvl>
    <w:lvl w:ilvl="2" w:tplc="90848670" w:tentative="1">
      <w:start w:val="1"/>
      <w:numFmt w:val="lowerRoman"/>
      <w:lvlText w:val="%3."/>
      <w:lvlJc w:val="right"/>
      <w:pPr>
        <w:ind w:left="2160" w:hanging="180"/>
      </w:pPr>
    </w:lvl>
    <w:lvl w:ilvl="3" w:tplc="90848670" w:tentative="1">
      <w:start w:val="1"/>
      <w:numFmt w:val="decimal"/>
      <w:lvlText w:val="%4."/>
      <w:lvlJc w:val="left"/>
      <w:pPr>
        <w:ind w:left="2880" w:hanging="360"/>
      </w:pPr>
    </w:lvl>
    <w:lvl w:ilvl="4" w:tplc="90848670" w:tentative="1">
      <w:start w:val="1"/>
      <w:numFmt w:val="lowerLetter"/>
      <w:lvlText w:val="%5."/>
      <w:lvlJc w:val="left"/>
      <w:pPr>
        <w:ind w:left="3600" w:hanging="360"/>
      </w:pPr>
    </w:lvl>
    <w:lvl w:ilvl="5" w:tplc="90848670" w:tentative="1">
      <w:start w:val="1"/>
      <w:numFmt w:val="lowerRoman"/>
      <w:lvlText w:val="%6."/>
      <w:lvlJc w:val="right"/>
      <w:pPr>
        <w:ind w:left="4320" w:hanging="180"/>
      </w:pPr>
    </w:lvl>
    <w:lvl w:ilvl="6" w:tplc="90848670" w:tentative="1">
      <w:start w:val="1"/>
      <w:numFmt w:val="decimal"/>
      <w:lvlText w:val="%7."/>
      <w:lvlJc w:val="left"/>
      <w:pPr>
        <w:ind w:left="5040" w:hanging="360"/>
      </w:pPr>
    </w:lvl>
    <w:lvl w:ilvl="7" w:tplc="90848670" w:tentative="1">
      <w:start w:val="1"/>
      <w:numFmt w:val="lowerLetter"/>
      <w:lvlText w:val="%8."/>
      <w:lvlJc w:val="left"/>
      <w:pPr>
        <w:ind w:left="5760" w:hanging="360"/>
      </w:pPr>
    </w:lvl>
    <w:lvl w:ilvl="8" w:tplc="90848670" w:tentative="1">
      <w:start w:val="1"/>
      <w:numFmt w:val="lowerRoman"/>
      <w:lvlText w:val="%9."/>
      <w:lvlJc w:val="right"/>
      <w:pPr>
        <w:ind w:left="6480" w:hanging="180"/>
      </w:pPr>
    </w:lvl>
  </w:abstractNum>
  <w:abstractNum w:abstractNumId="98645003">
    <w:multiLevelType w:val="hybridMultilevel"/>
    <w:lvl w:ilvl="0" w:tplc="72763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45003">
    <w:abstractNumId w:val="98645003"/>
  </w:num>
  <w:num w:numId="98645004">
    <w:abstractNumId w:val="986450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346663" Type="http://schemas.microsoft.com/office/2011/relationships/commentsExtended" Target="commentsExtended.xml"/><Relationship Id="rId149806315" Type="http://schemas.microsoft.com/office/2011/relationships/people" Target="people.xml"/><Relationship Id="rId4344676c61ed6a6a6" Type="http://schemas.openxmlformats.org/officeDocument/2006/relationships/hyperlink" Target="https://gd.eppo.int/taxon/IPSXSE/" TargetMode="External"/><Relationship Id="rId4446676c61ed6a6ea" Type="http://schemas.openxmlformats.org/officeDocument/2006/relationships/hyperlink" Target="https://gd.eppo.int/taxon/IPSXSE/categorization" TargetMode="External"/><Relationship Id="rId9706676c61ed6b43a" Type="http://schemas.openxmlformats.org/officeDocument/2006/relationships/hyperlink" Target="https://gd.eppo.int/taxon/IPSXSE/photos" TargetMode="External"/><Relationship Id="rId8144676c61ed6e049" Type="http://schemas.openxmlformats.org/officeDocument/2006/relationships/hyperlink" Target="http://cjai.biologicalsurvey.ca/dcgs_38/dcgs_38.html" TargetMode="External"/><Relationship Id="rId9434676c61ed6e9bf" Type="http://schemas.openxmlformats.org/officeDocument/2006/relationships/hyperlink" Target="https://www.cabdirect.org/cabdirect/abstract/19660601005" TargetMode="External"/><Relationship Id="rId1558676c61ed6f0a1" Type="http://schemas.openxmlformats.org/officeDocument/2006/relationships/hyperlink" Target="https://doi.org/10.2903/j.efsa.2017.4999" TargetMode="External"/><Relationship Id="rId2484676c61ed6f1e4" Type="http://schemas.openxmlformats.org/officeDocument/2006/relationships/hyperlink" Target="https://gd.eppo.int" TargetMode="External"/><Relationship Id="rId5975676c61ed6af80" Type="http://schemas.openxmlformats.org/officeDocument/2006/relationships/image" Target="media/imgrId5975676c61ed6af80.jpg"/><Relationship Id="rId8875676c61ed6cd65" Type="http://schemas.openxmlformats.org/officeDocument/2006/relationships/image" Target="media/imgrId8875676c61ed6cd65.jpg"/><Relationship Id="rId8239676c61ed6f4d3" Type="http://schemas.openxmlformats.org/officeDocument/2006/relationships/image" Target="media/imgrId8239676c61ed6f4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