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Liriomyza trifolii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trifolii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(Burgess)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alliovora</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phaseolunata</w:t>
            </w:r>
            <w:r>
              <w:rPr>
                <w:rFonts w:ascii="Calibri" w:hAnsi="Calibri" w:eastAsia="Calibri" w:cs="Calibri"/>
                <w:color w:val="000000"/>
                <w:position w:val="-3"/>
                <w:sz w:val="22"/>
                <w:szCs w:val="22"/>
              </w:rPr>
              <w:t xml:space="preserve"> (Frost)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serpentine leaf miner, chrysanthemum leaf miner</w:t>
            </w:r>
            <w:hyperlink r:id="rId96556803a630a6e4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63606803a630a6ea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LIRITR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1000994" name="name26876803a630a7593" descr="9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7.jpg"/>
                          <pic:cNvPicPr/>
                        </pic:nvPicPr>
                        <pic:blipFill>
                          <a:blip r:embed="rId72016803a630a7590" cstate="print"/>
                          <a:stretch>
                            <a:fillRect/>
                          </a:stretch>
                        </pic:blipFill>
                        <pic:spPr>
                          <a:xfrm>
                            <a:off x="0" y="0"/>
                            <a:ext cx="2160000" cy="1281600"/>
                          </a:xfrm>
                          <a:prstGeom prst="rect">
                            <a:avLst/>
                          </a:prstGeom>
                          <a:ln w="0">
                            <a:noFill/>
                          </a:ln>
                        </pic:spPr>
                      </pic:pic>
                    </a:graphicData>
                  </a:graphic>
                </wp:inline>
              </w:drawing>
            </w:r>
            <w:hyperlink r:id="rId98886803a630a76e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has been shown to be capable of hybridizing with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(Sakami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recent molecular work suggests that cryptic species may be present within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(Scheffer &amp; Lewis,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Agromyzidae are usually restricted to a limited number of host plants but a few species are highly polyphagous and have become important pests.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is one of these species and causes severe damage to vegetable crops such as celery (Spencer, 1982) and ornamentals such as chrysanthemums (Spencer, 1973).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has been recorded from 29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schoenoprasum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caelestinum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serotinum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Flaveria trinervia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Hymenopappus scabiosaeus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Kallstroemia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x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Melanthera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Packera glabella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Picris hieracioides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novi-belgii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Tridax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herbaceous ornamental plants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vegetable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originates from North America and spread to other parts of the world in the 1960-1980s. A detailed review of its spread is given in Minkenberg (1988). Today, it is present in South America, Europe, Africa, Asia and Oceania.</w:t>
      </w:r>
    </w:p>
    <w:p>
      <w:r>
        <w:drawing>
          <wp:inline distT="0" distB="0" distL="0" distR="0">
            <wp:extent cx="6120000" cy="3067200"/>
            <wp:docPr id="26055220" name="name82876803a630a9588" descr="LIRI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RITR_distribution_map.jpg"/>
                    <pic:cNvPicPr/>
                  </pic:nvPicPr>
                  <pic:blipFill>
                    <a:blip r:embed="rId78866803a630a958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Bosnia and Herzegovina, Croatia, Cyprus, Finland, France (mainland), Greece (mainland, Kriti), Israel, Italy (mainland, Sardegna, Sicilia), Jordan, Malta, Moldova, Republic of, Morocco, Netherlands, Portugal (mainland), Romania, Russian Federation (the) (Central Russia, Southern Russia), Serbia, Spain (mainland, Islas Canárias), Switzerland,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Cote d'Ivoire, Egypt, Ethiopia, Guinea, Kenya, Madagascar, Mauritius, Mayotte, Morocco, Nigeria, Reunion, Senegal, South Africa, Sudan, Tanzania, United Republic of, Tunisia,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Guizhou, Hainan, Hebei, Henan, Hubei, Hunan, Jiangsu, Jiangxi, Liaoning, Shaanxi, Shandong, Shanghai, Yunnan, Zhejiang), India (Andhra Pradesh, Delhi, Gujarat, Haryana, Karnataka, Kerala, Madhya Pradesh, Maharashtra, Nagaland, Odisha, Punjab, Tamil Nadu, Telangana, Tripura, Uttar Pradesh, West Bengal), Indonesia, Iran, Islamic Republic of, Israel, Japan (Honshu, Kyushu), Jordan, Korea, Republic of, Lebanon, Maldives, Oman, Philippines, Saudi Arabia, Taiwan,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Nova Scotia, Ontario, Québec), Mexico, United States of America (Arizona, California, Delaware, District of Columbia, Florida, Hawaii, Indiana, Iowa, Maryland, Massachusetts, Michigan, Mississippi, Nevada, New Jersey, New Mexico, New York, North Carolina, Ohio, Pennsylvania, South Carolina, Texas, Virginia, Washington,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Barbados, Bermuda, Costa Rica, Cuba, Dominican Republic, Guadeloupe, Guatemala, Martinique, Netherlands Antilles, Puerto Rico, Saint Kitts and Nevis,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Espirito Santo, Minas Gerais, Para, Pernambuco, Sao Paulo), Chile, Colombia, Ecuador, French Guiana, Guyana,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(Queensland, Western Australia), Fiji, Guam, Micronesia, Federated States of, Northern Mariana Islands, Samoa,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biological characteristics which make certain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particularly successful pests are their rapid population growth and their ability to attack a wide range of different host plants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the life history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are summarized from Harris &amp; Tate (1933), Lanzoni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Leibee (1982), Minkeberg (1988), Parrella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Parrella (1987), Spencer (1973), Tokumaru &amp; Abe (2003, 2005).</w:t>
      </w:r>
    </w:p>
    <w:p>
      <w:pPr>
        <w:widowControl w:val="on"/>
        <w:pBdr/>
        <w:spacing w:before="220" w:after="220" w:line="240" w:lineRule="auto"/>
        <w:ind w:left="0" w:right="0"/>
        <w:jc w:val="both"/>
      </w:pPr>
      <w:r>
        <w:rPr>
          <w:rFonts w:ascii="Calibri" w:hAnsi="Calibri" w:eastAsia="Calibri" w:cs="Calibri"/>
          <w:color w:val="000000"/>
          <w:sz w:val="22"/>
          <w:szCs w:val="22"/>
        </w:rPr>
        <w:t xml:space="preserve">Copulation takes place on the day when females emerge. Non-fertilized females are not able to oviposit. After mating female flies puncture the leaf surface of the host plants with their ovipositor causing wounds which serve as sites for feeding or oviposition. Males can also take advantage of these feeding sites as they are less well equipped for puncturing plant tissue. Feeding punctures can be used for egg laying with approximately 15% of punctures containing 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inserted just below the leaf surface.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females lay on average 11.5 eggs per day. The number of eggs laid depends on the host plant. The duration of the egg stage varies from 1 to 7 days depending on the temperature and host plant. Female flies live longer than males.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instars which, in total, last 4 to 7 days at mean temperatures above 24°C. Larval feeding forms irregular linear mines. Just before pupation, mature larvae cut semi-circular exit slits in the upper surface of the leaves. After a short period, larvae drop to the ground and burrow just below the surface of the soil or in crop debris before pupating. The pupal stage lasts from 7 to 33 days depending on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Southern USA, the life-cycle is probably continuous throughout the year. There is a noticeable first generation which reaches a peak in April (Spencer, 1973). In Southern Florida,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has two or three complete generations followed by a number of incomplete, overlapping generations (Spencer, 1973).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caused by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due to larval mining in the leaf tissue. Larval mining reduces the aesthetic value of ornamentals, decreases the photosynthetic capacity of leaves and can ultimately cause defoliation in severe cases (Spencer, 1973). Mines are irregular linear structures in the leaf tissue. They are off-white with trails of dark frass in their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adults cause two main types of damage to their host plants, feeding and oviposition punctures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Minkeberg &amp; van Lenteren, 1986). Adult feeding and oviposition punctures reduce the aesthetic value of ornamental plants and can lead to death of young plants by reducing photosynthetic capacity. Punctures can also be invaded by fungi and bacteria causing additional damage to host plants. Feeding punctures appear as uneven rounded white speckles on the leaf surface whereas oviposition punctures are smaller and more rounded. These symptoms are not used as a diagnostic character as there is no variation between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the morphology of immature and adult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is given in Spencer (1973). The main diagnostic characters of the four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can be found in the IPPC diagnostic protocol for the genus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(IPPC, 2017) and the EPPO Standard on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(EPPO, 2022a) The following sections summarize this information.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and white, 0.25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that range from 0.5 mm in length for the first instar to 3.0 mm for the last one. Their shape is cylindrical and tapering towards the head. The posterior spiracles are tricorn-shaped with three pores located on projections. Newly emerged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larvae are translucent and turn yellow-orange in the later stages.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Oval cylinder in shape of about 2.0 mm, yellowish brown. The spiracles are still visible in the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1-3 mm long mostly black flies, with a yellow frons and scutellum. The orbital setulae are reclinate, the costa extends to vein M</w:t>
      </w:r>
      <w:r>
        <w:rPr>
          <w:rFonts w:ascii="Calibri" w:hAnsi="Calibri" w:eastAsia="Calibri" w:cs="Calibri"/>
          <w:color w:val="000000"/>
          <w:position w:val="-4"/>
          <w:sz w:val="22"/>
          <w:szCs w:val="22"/>
          <w:vertAlign w:val="subscript"/>
          <w:vertAlign w:val="subscript"/>
        </w:rPr>
        <w:t xml:space="preserve">1+2</w:t>
      </w:r>
      <w:r>
        <w:rPr>
          <w:rFonts w:ascii="Calibri" w:hAnsi="Calibri" w:eastAsia="Calibri" w:cs="Calibri"/>
          <w:color w:val="000000"/>
          <w:sz w:val="22"/>
          <w:szCs w:val="22"/>
        </w:rPr>
        <w:t xml:space="preserve"> and the femora are predominantly yellow. Male genitalia are characteristic of the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more than 400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(GBIF, 2023) and their morphological identification relies on the male genitalia. Adult females can only be used for genus level identification. Likewise, there are no keys available for species level identification of the immature stages.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males can thus be separated from the very similar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 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strigata</w:t>
      </w:r>
      <w:r>
        <w:rPr>
          <w:rFonts w:ascii="Calibri" w:hAnsi="Calibri" w:eastAsia="Calibri" w:cs="Calibri"/>
          <w:color w:val="000000"/>
          <w:sz w:val="22"/>
          <w:szCs w:val="22"/>
        </w:rPr>
        <w:t xml:space="preserve"> by the structure of their distiphallus (terminal part of the intromittent organ) which has one distal bulb with a marked constriction between its apical and basal parts. The basal section of the bulb is strongly curved (IPPC, 2017; EPPO, 2022a).</w:t>
      </w:r>
    </w:p>
    <w:p>
      <w:pPr>
        <w:widowControl w:val="on"/>
        <w:pBdr/>
        <w:spacing w:before="220" w:after="220" w:line="240" w:lineRule="auto"/>
        <w:ind w:left="0" w:right="0"/>
        <w:jc w:val="both"/>
      </w:pPr>
      <w:r>
        <w:rPr>
          <w:rFonts w:ascii="Calibri" w:hAnsi="Calibri" w:eastAsia="Calibri" w:cs="Calibri"/>
          <w:color w:val="000000"/>
          <w:sz w:val="22"/>
          <w:szCs w:val="22"/>
        </w:rPr>
        <w:t xml:space="preserve">The mines caused by larval feeding can also be useful for detection but this character should be used in combination with other characters as mine pattern is influenced by environmental factors (EPPO, 2022a). Other flies as well as some Lepidoptera are known to have leaf-mining larvae and can potentially be confused with Agromyzidae. Nonetheless, the characteristic feeding punctures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allows diagnosticians to differentiate them from other leafminers.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male adults for morphological identification, the following molecular tests can be used for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species identification: PCR RFLP targeting the COII gene (Kox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conventional multiplex PCR targeting the COI gene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 on-site LAMP test, multiplex real-time PCR (Sooda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DNA barcoding based on the COI gene (EPPO, 2021). These molecular techniques are summarized in the EPPO and the IPPC diagnostic protocols for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(EPPO, 2022a; IPPC, 2017). Recently, molecular identification based on next generation sequencing techniques are also being developed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limited flight and can be dispersed by wind currents (see Malipatil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references), but are unlikely to spread over long distances. The high degree of polyphagy of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as well as the concealed lifestyle of its larvae make its dissemination through the movement of plant material the most likely mean of colonizing new countries (EFSA, 2012; Parrela, 1987,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is regularly intercepted in trade, in particular on leafy vegetables and cut flowers (Europhyt,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highly polyphagous and invasive and cause severe damage to vegetable crops and ornamentals through adult feeding, oviposition and larval mining.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originates from North America but is now present worldwide (CABI,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a major pest of chrysanthemums (Spencer, 1973) and celery (Spencer, 1982) in the USA and near total production loss of chrysanthemums has been reported in California (Newman &amp; Parrella, 1981).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control strategy for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the extensive use of chemical control methods. However,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known to readily develop insecticide resistance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unlike their local parasitoids, thus causing serious leafminer outbreaks. Some insecticides are effective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(Schuster &amp; Everett, 1983). These are translaminar and target the larvae inside the leafmines. Biological control methods are increasingly used in horticultural industries and commercial vegetable production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are more than 140 described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parasitoids and these are the primary agents used in biological control strategies. In open fields, integrated pest management strategies promoting local parasitoid diversity are commonly used to control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In the more controlled greenhouse environments, commercially available parasitoids, such as species in the genus </w:t>
      </w:r>
      <w:r>
        <w:rPr>
          <w:rFonts w:ascii="Calibri" w:hAnsi="Calibri" w:eastAsia="Calibri" w:cs="Calibri"/>
          <w:i/>
          <w:iCs/>
          <w:color w:val="000000"/>
          <w:sz w:val="22"/>
          <w:szCs w:val="22"/>
        </w:rPr>
        <w:t xml:space="preserve">Diglyphus</w:t>
      </w:r>
      <w:r>
        <w:rPr>
          <w:rFonts w:ascii="Calibri" w:hAnsi="Calibri" w:eastAsia="Calibri" w:cs="Calibri"/>
          <w:color w:val="000000"/>
          <w:sz w:val="22"/>
          <w:szCs w:val="22"/>
        </w:rPr>
        <w:t xml:space="preserve">, are also reported to successfully regulate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infestations. Predators and entomopathogenic nematodes and fungi are also known but there are a limited number of species and they are not considered as efficient control agents.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is a highly polyphagous species present in Europe essentially in the Mediterranean region. The main dispersal mechanisms is through the trade related movement of plant material hosting the immature stages of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(EFSA, 2012). The latter are cryptic and can easily go undetected in plants for planting, soil, fruit and vegetables, cut flowers and branches with foliage.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host plants for planting from countries where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is present are inspected over three months at regular intervals before export can take place, to verify the absence the pest itself or any signs of its presence. General guidance on how to conduct inspections of places producing vegetable plants for planting under protected conditions can be found in the EPPO Standard PM 3/77 (EPPO, 2022b). In the European Union, specific measures are taken to protect areas that are still free from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(Protected Zones), which means that plant material should respect a list of established rules (Commission implementing regulation (EU) 2021/2285) before being cleared for import into the Protected Zones.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Liriomyza trifolii. </w:t>
      </w:r>
      <w:hyperlink r:id="rId19996803a630aa44b" w:history="1">
        <w:r>
          <w:rPr>
            <w:rFonts w:ascii="Calibri" w:hAnsi="Calibri" w:eastAsia="Calibri" w:cs="Calibri"/>
            <w:color w:val="0000CC"/>
            <w:sz w:val="22"/>
            <w:szCs w:val="22"/>
            <w:u w:val="single"/>
          </w:rPr>
          <w:t xml:space="preserve">https://www.cabidigitallibrary.org/doi/full/10.1079/cabicompendium.30965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Baker R, Bragard C, Candresse T, Gilioli G, Grégoire J-C, Holb I, Jeger MJ, Evtimova Karadjova O, Magnusson C, Makowski D, Manceau C, Navajas M, Rafoss T, Rossi V, Schans J, Schrader G, Urek G, van Lenteren JC, Vloutoglou I, Winter S and van der Werf W (2012) Scientific opinion on the risks to plant health posed by </w:t>
      </w:r>
      <w:r>
        <w:rPr>
          <w:rFonts w:ascii="Calibri" w:hAnsi="Calibri" w:eastAsia="Calibri" w:cs="Calibri"/>
          <w:i/>
          <w:iCs/>
          <w:color w:val="000000"/>
          <w:sz w:val="22"/>
          <w:szCs w:val="22"/>
        </w:rPr>
        <w:t xml:space="preserve">Liriomyza huidobrensis </w:t>
      </w:r>
      <w:r>
        <w:rPr>
          <w:rFonts w:ascii="Calibri" w:hAnsi="Calibri" w:eastAsia="Calibri" w:cs="Calibri"/>
          <w:color w:val="000000"/>
          <w:sz w:val="22"/>
          <w:szCs w:val="22"/>
        </w:rPr>
        <w:t xml:space="preserve">(Blanchard) and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(Burgess) in the EU territory, with the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3028. </w:t>
      </w:r>
      <w:hyperlink r:id="rId64896803a630aa52e" w:history="1">
        <w:r>
          <w:rPr>
            <w:rFonts w:ascii="Calibri" w:hAnsi="Calibri" w:eastAsia="Calibri" w:cs="Calibri"/>
            <w:color w:val="0000CC"/>
            <w:sz w:val="22"/>
            <w:szCs w:val="22"/>
            <w:u w:val="single"/>
          </w:rPr>
          <w:t xml:space="preserve">https://doi.org/10.2903/j.efsa.2012.3028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Diagnostics. PM 7/129 (2) DNA barcoding as an identification tool for a number of regulated pests: DNA barcoding Arthropods.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EPPO Standards.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326-345.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(2023) Interceptions of harmful organisms in imported plants and other objects. European Commission. </w:t>
      </w:r>
      <w:hyperlink r:id="rId55486803a630aa69c" w:history="1">
        <w:r>
          <w:rPr>
            <w:rFonts w:ascii="Calibri" w:hAnsi="Calibri" w:eastAsia="Calibri" w:cs="Calibri"/>
            <w:color w:val="0000CC"/>
            <w:sz w:val="22"/>
            <w:szCs w:val="22"/>
            <w:u w:val="single"/>
          </w:rPr>
          <w:t xml:space="preserve">https://food.ec.europa.eu/plants/plant-health-and-biosecurity/europhyt/interceptions_en</w:t>
        </w:r>
      </w:hyperlink>
      <w:r>
        <w:rPr>
          <w:rFonts w:ascii="Calibri" w:hAnsi="Calibri" w:eastAsia="Calibri" w:cs="Calibri"/>
          <w:color w:val="000000"/>
          <w:sz w:val="22"/>
          <w:szCs w:val="22"/>
        </w:rPr>
        <w:t xml:space="preserve"> [last accessed 2023-10].</w:t>
      </w:r>
    </w:p>
    <w:p>
      <w:pPr>
        <w:widowControl w:val="on"/>
        <w:pBdr/>
        <w:spacing w:before="220" w:after="220" w:line="240" w:lineRule="auto"/>
        <w:ind w:left="0" w:right="0"/>
        <w:jc w:val="left"/>
      </w:pPr>
      <w:r>
        <w:rPr>
          <w:rFonts w:ascii="Calibri" w:hAnsi="Calibri" w:eastAsia="Calibri" w:cs="Calibri"/>
          <w:color w:val="000000"/>
          <w:sz w:val="22"/>
          <w:szCs w:val="22"/>
        </w:rPr>
        <w:t xml:space="preserve">Frey JE, Frey B, Frei D, Blaser S, Gueuning M &amp; Bühlmann A (2022) Next generation biosecurity: Towards genome based identification to prevent spread of agronomic pests and pathogens using nanopore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(7), e0270897. </w:t>
      </w:r>
      <w:hyperlink r:id="rId38256803a630aa71c" w:history="1">
        <w:r>
          <w:rPr>
            <w:rFonts w:ascii="Calibri" w:hAnsi="Calibri" w:eastAsia="Calibri" w:cs="Calibri"/>
            <w:color w:val="0000CC"/>
            <w:sz w:val="22"/>
            <w:szCs w:val="22"/>
            <w:u w:val="single"/>
          </w:rPr>
          <w:t xml:space="preserve">https://doi.org/10.1371/journal.pone.0270897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GBIF.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Mik, 1894 in GBIF Secretariat. GBIF Backbone Taxonomy. Checklist dataset. </w:t>
      </w:r>
      <w:hyperlink r:id="rId90606803a630aa76f" w:history="1">
        <w:r>
          <w:rPr>
            <w:rFonts w:ascii="Calibri" w:hAnsi="Calibri" w:eastAsia="Calibri" w:cs="Calibri"/>
            <w:color w:val="0000CC"/>
            <w:sz w:val="22"/>
            <w:szCs w:val="22"/>
            <w:u w:val="single"/>
          </w:rPr>
          <w:t xml:space="preserve">https://doi.org/10.15468/39omei</w:t>
        </w:r>
      </w:hyperlink>
      <w:r>
        <w:rPr>
          <w:rFonts w:ascii="Calibri" w:hAnsi="Calibri" w:eastAsia="Calibri" w:cs="Calibri"/>
          <w:color w:val="000000"/>
          <w:sz w:val="22"/>
          <w:szCs w:val="22"/>
        </w:rPr>
        <w:t xml:space="preserve"> [accessed via GBIF.org on 2023-10-01].</w:t>
      </w:r>
    </w:p>
    <w:p>
      <w:pPr>
        <w:widowControl w:val="on"/>
        <w:pBdr/>
        <w:spacing w:before="220" w:after="220" w:line="240" w:lineRule="auto"/>
        <w:ind w:left="0" w:right="0"/>
        <w:jc w:val="left"/>
      </w:pPr>
      <w:r>
        <w:rPr>
          <w:rFonts w:ascii="Calibri" w:hAnsi="Calibri" w:eastAsia="Calibri" w:cs="Calibri"/>
          <w:color w:val="000000"/>
          <w:sz w:val="22"/>
          <w:szCs w:val="22"/>
        </w:rPr>
        <w:t xml:space="preserve">Harris HM &amp; Tate HD (1933) A leafminer attacking the cultivated onion.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515-516.</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(2017) DP 16: Genus </w:t>
      </w:r>
      <w:r>
        <w:rPr>
          <w:rFonts w:ascii="Calibri" w:hAnsi="Calibri" w:eastAsia="Calibri" w:cs="Calibri"/>
          <w:i/>
          <w:iCs/>
          <w:color w:val="000000"/>
          <w:sz w:val="22"/>
          <w:szCs w:val="22"/>
        </w:rPr>
        <w:t xml:space="preserve">Liriomyza. International Standard for Phytosanitary measures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annex 16. </w:t>
      </w:r>
      <w:hyperlink r:id="rId71076803a630aa83c" w:history="1">
        <w:r>
          <w:rPr>
            <w:rFonts w:ascii="Calibri" w:hAnsi="Calibri" w:eastAsia="Calibri" w:cs="Calibri"/>
            <w:color w:val="0000CC"/>
            <w:sz w:val="22"/>
            <w:szCs w:val="22"/>
            <w:u w:val="single"/>
          </w:rPr>
          <w:t xml:space="preserve">https://www.ippc.int/static/media/files/publication/en/2017/01/DP_16_2016_En_2017-01-30.pdf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Kox LFF, Van Den Beld H E, Lindhout B I &amp; De Goffau LJW (2005) Identification of economically important Liriomyza species by PCR‐RFLP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79-85.</w:t>
      </w:r>
    </w:p>
    <w:p>
      <w:pPr>
        <w:widowControl w:val="on"/>
        <w:pBdr/>
        <w:spacing w:before="220" w:after="220" w:line="240" w:lineRule="auto"/>
        <w:ind w:left="0" w:right="0"/>
        <w:jc w:val="left"/>
      </w:pPr>
      <w:r>
        <w:rPr>
          <w:rFonts w:ascii="Calibri" w:hAnsi="Calibri" w:eastAsia="Calibri" w:cs="Calibri"/>
          <w:color w:val="000000"/>
          <w:sz w:val="22"/>
          <w:szCs w:val="22"/>
        </w:rPr>
        <w:t xml:space="preserve">Lanzoni A, Bazzocchi GG, Burgio G &amp; Fiacconi MR (2002) Comparative life history of </w:t>
      </w:r>
      <w:r>
        <w:rPr>
          <w:rFonts w:ascii="Calibri" w:hAnsi="Calibri" w:eastAsia="Calibri" w:cs="Calibri"/>
          <w:i/>
          <w:iCs/>
          <w:color w:val="000000"/>
          <w:sz w:val="22"/>
          <w:szCs w:val="22"/>
        </w:rPr>
        <w:t xml:space="preserve">Liriomyza trifolii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Liriomyza huidobrensis</w:t>
      </w:r>
      <w:r>
        <w:rPr>
          <w:rFonts w:ascii="Calibri" w:hAnsi="Calibri" w:eastAsia="Calibri" w:cs="Calibri"/>
          <w:color w:val="000000"/>
          <w:sz w:val="22"/>
          <w:szCs w:val="22"/>
        </w:rPr>
        <w:t xml:space="preserve"> (Diptera: Agromyzidae) on beans: effect of temperature on development.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(5), 797-803.</w:t>
      </w:r>
    </w:p>
    <w:p>
      <w:pPr>
        <w:widowControl w:val="on"/>
        <w:pBdr/>
        <w:spacing w:before="220" w:after="220" w:line="240" w:lineRule="auto"/>
        <w:ind w:left="0" w:right="0"/>
        <w:jc w:val="left"/>
      </w:pPr>
      <w:r>
        <w:rPr>
          <w:rFonts w:ascii="Calibri" w:hAnsi="Calibri" w:eastAsia="Calibri" w:cs="Calibri"/>
          <w:color w:val="000000"/>
          <w:sz w:val="22"/>
          <w:szCs w:val="22"/>
        </w:rPr>
        <w:t xml:space="preserve">Leibee GL (1982) Development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on celery. In: </w:t>
      </w:r>
      <w:r>
        <w:rPr>
          <w:rFonts w:ascii="Calibri" w:hAnsi="Calibri" w:eastAsia="Calibri" w:cs="Calibri"/>
          <w:i/>
          <w:iCs/>
          <w:color w:val="000000"/>
          <w:sz w:val="22"/>
          <w:szCs w:val="22"/>
        </w:rPr>
        <w:t xml:space="preserve">Proceedings of IFAS-Industry Conference on Biology and Control of </w:t>
      </w:r>
      <w:r>
        <w:rPr>
          <w:rFonts w:ascii="Calibri" w:hAnsi="Calibri" w:eastAsia="Calibri" w:cs="Calibri"/>
          <w:color w:val="000000"/>
          <w:sz w:val="22"/>
          <w:szCs w:val="22"/>
        </w:rPr>
        <w:t xml:space="preserve">Liriomyza</w:t>
      </w:r>
      <w:r>
        <w:rPr>
          <w:rFonts w:ascii="Calibri" w:hAnsi="Calibri" w:eastAsia="Calibri" w:cs="Calibri"/>
          <w:i/>
          <w:iCs/>
          <w:color w:val="000000"/>
          <w:sz w:val="22"/>
          <w:szCs w:val="22"/>
        </w:rPr>
        <w:t xml:space="preserve"> leafminers, Lake Buéna Vista, Florida</w:t>
      </w:r>
      <w:r>
        <w:rPr>
          <w:rFonts w:ascii="Calibri" w:hAnsi="Calibri" w:eastAsia="Calibri" w:cs="Calibri"/>
          <w:color w:val="000000"/>
          <w:sz w:val="22"/>
          <w:szCs w:val="22"/>
        </w:rPr>
        <w:t xml:space="preserve"> (Ed. by Schuster DJ), pp. 35-41.</w:t>
      </w:r>
    </w:p>
    <w:p>
      <w:pPr>
        <w:widowControl w:val="on"/>
        <w:pBdr/>
        <w:spacing w:before="220" w:after="220" w:line="240" w:lineRule="auto"/>
        <w:ind w:left="0" w:right="0"/>
        <w:jc w:val="left"/>
      </w:pPr>
      <w:r>
        <w:rPr>
          <w:rFonts w:ascii="Calibri" w:hAnsi="Calibri" w:eastAsia="Calibri" w:cs="Calibri"/>
          <w:color w:val="000000"/>
          <w:sz w:val="22"/>
          <w:szCs w:val="22"/>
        </w:rPr>
        <w:t xml:space="preserve">Liu T-X, Kang Le, Heinz KM and Trumble J (2009) Biological control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leafminers: progress and perspective. </w:t>
      </w:r>
      <w:r>
        <w:rPr>
          <w:rFonts w:ascii="Calibri" w:hAnsi="Calibri" w:eastAsia="Calibri" w:cs="Calibri"/>
          <w:i/>
          <w:iCs/>
          <w:color w:val="000000"/>
          <w:sz w:val="22"/>
          <w:szCs w:val="22"/>
        </w:rPr>
        <w:t xml:space="preserve">CAB Reviews: Perspectives in Agriculture, Veterinary Science, Nutrition and Natural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004.</w:t>
      </w:r>
    </w:p>
    <w:p>
      <w:pPr>
        <w:widowControl w:val="on"/>
        <w:pBdr/>
        <w:spacing w:before="220" w:after="220" w:line="240" w:lineRule="auto"/>
        <w:ind w:left="0" w:right="0"/>
        <w:jc w:val="left"/>
      </w:pPr>
      <w:r>
        <w:rPr>
          <w:rFonts w:ascii="Calibri" w:hAnsi="Calibri" w:eastAsia="Calibri" w:cs="Calibri"/>
          <w:color w:val="000000"/>
          <w:sz w:val="22"/>
          <w:szCs w:val="22"/>
        </w:rPr>
        <w:t xml:space="preserve">Malipatil M, Blacket M, Wainer J, Ridland P &amp; Reviewer Jones DC (Subcommittee on Plant Health Diagnostics) (2016) National Diagnostic Protocol for </w:t>
      </w:r>
      <w:r>
        <w:rPr>
          <w:rFonts w:ascii="Calibri" w:hAnsi="Calibri" w:eastAsia="Calibri" w:cs="Calibri"/>
          <w:i/>
          <w:iCs/>
          <w:color w:val="000000"/>
          <w:sz w:val="22"/>
          <w:szCs w:val="22"/>
        </w:rPr>
        <w:t xml:space="preserve">Liriomyza trifolii </w:t>
      </w:r>
      <w:r>
        <w:rPr>
          <w:rFonts w:ascii="Calibri" w:hAnsi="Calibri" w:eastAsia="Calibri" w:cs="Calibri"/>
          <w:color w:val="000000"/>
          <w:sz w:val="22"/>
          <w:szCs w:val="22"/>
        </w:rPr>
        <w:t xml:space="preserve">– NDP27 V1. </w:t>
      </w:r>
      <w:hyperlink r:id="rId38426803a630aaa9d" w:history="1">
        <w:r>
          <w:rPr>
            <w:rFonts w:ascii="Calibri" w:hAnsi="Calibri" w:eastAsia="Calibri" w:cs="Calibri"/>
            <w:color w:val="0000CC"/>
            <w:sz w:val="22"/>
            <w:szCs w:val="22"/>
            <w:u w:val="single"/>
          </w:rPr>
          <w:t xml:space="preserve">https://www.plantbiosecuritydiagnostics.net.au/app/uploads/2018/11/NDP-27-American-serpentine-leaf-miner-Liriomyza-trifolii-V1.pdf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&amp; van Lenteren JC (1986) The leafminers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their parasites and host plants: a review. </w:t>
      </w:r>
      <w:r>
        <w:rPr>
          <w:rFonts w:ascii="Calibri" w:hAnsi="Calibri" w:eastAsia="Calibri" w:cs="Calibri"/>
          <w:i/>
          <w:iCs/>
          <w:color w:val="000000"/>
          <w:sz w:val="22"/>
          <w:szCs w:val="22"/>
        </w:rPr>
        <w:t xml:space="preserve">Agricultural University Wageningen Papers</w:t>
      </w:r>
      <w:r>
        <w:rPr>
          <w:rFonts w:ascii="Calibri" w:hAnsi="Calibri" w:eastAsia="Calibri" w:cs="Calibri"/>
          <w:color w:val="000000"/>
          <w:sz w:val="22"/>
          <w:szCs w:val="22"/>
        </w:rPr>
        <w:t xml:space="preserve"> No. 86-2, 50 pp.</w:t>
      </w:r>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(1988) Dispersal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173-182.</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Masuda T, Mochizuki A, Konishi K, Tokumaru S, Ueno K &amp; Yamaguchi T (2013) Primer design for identifying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(Diptera: Agromyzidae) by multiplex PCR.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Newman JP &amp; Parrella MP (1986) A license to kill. </w:t>
      </w:r>
      <w:r>
        <w:rPr>
          <w:rFonts w:ascii="Calibri" w:hAnsi="Calibri" w:eastAsia="Calibri" w:cs="Calibri"/>
          <w:i/>
          <w:iCs/>
          <w:color w:val="000000"/>
          <w:sz w:val="22"/>
          <w:szCs w:val="22"/>
        </w:rPr>
        <w:t xml:space="preserve">Greenhouse Manager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(3), 86-92.</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Allen WW &amp; Marishita P (1981) Leafminer species causes California chrysanthemum growers new problems.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28-30.</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(1987) Biology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201-224.</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Liriomyza leafminer management. Insecticides-development of safer and more effective technologies. </w:t>
      </w:r>
      <w:r>
        <w:rPr>
          <w:rFonts w:ascii="Calibri" w:hAnsi="Calibri" w:eastAsia="Calibri" w:cs="Calibri"/>
          <w:color w:val="000000"/>
          <w:sz w:val="22"/>
          <w:szCs w:val="22"/>
        </w:rPr>
        <w:t xml:space="preserve">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Insecticides. Development of safer and more effective technologies</w:t>
      </w:r>
      <w:r>
        <w:rPr>
          <w:rFonts w:ascii="Calibri" w:hAnsi="Calibri" w:eastAsia="Calibri" w:cs="Calibri"/>
          <w:color w:val="000000"/>
          <w:sz w:val="22"/>
          <w:szCs w:val="22"/>
        </w:rPr>
        <w:t xml:space="preserve"> (ed. Trdan S) IntechOpen, 235-255. </w:t>
      </w:r>
      <w:hyperlink r:id="rId21816803a630aadf1" w:history="1">
        <w:r>
          <w:rPr>
            <w:rFonts w:ascii="Calibri" w:hAnsi="Calibri" w:eastAsia="Calibri" w:cs="Calibri"/>
            <w:color w:val="0000CC"/>
            <w:sz w:val="22"/>
            <w:szCs w:val="22"/>
            <w:u w:val="single"/>
          </w:rPr>
          <w:t xml:space="preserve">http://dx.doi.org/10.5772/53874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Sakamaki Y, Miura K &amp; Chi Y (2005) Interspecific hybridization between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470-474.</w:t>
      </w:r>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&amp; Lewis ML (2006) Mitochondrial phylogeography of the vegetable pest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 Agromyzidae): Diverged clades and invasive populations.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(6), 991–998.</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&amp; Everett PH (1983) Response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 Agromyzidae) to insecticides on tomato.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(5), 1170-1174.</w:t>
      </w:r>
    </w:p>
    <w:p>
      <w:pPr>
        <w:widowControl w:val="on"/>
        <w:pBdr/>
        <w:spacing w:before="220" w:after="220" w:line="240" w:lineRule="auto"/>
        <w:ind w:left="0" w:right="0"/>
        <w:jc w:val="left"/>
      </w:pPr>
      <w:r>
        <w:rPr>
          <w:rFonts w:ascii="Calibri" w:hAnsi="Calibri" w:eastAsia="Calibri" w:cs="Calibri"/>
          <w:color w:val="000000"/>
          <w:sz w:val="22"/>
          <w:szCs w:val="22"/>
        </w:rPr>
        <w:t xml:space="preserve">Sooda A, Gunawardana D, Li D &amp; Kumarasinghe L (2017) Multiplex real‐time PCR assay for the detection of three invasive leafminer species: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 </w:t>
      </w:r>
      <w:r>
        <w:rPr>
          <w:rFonts w:ascii="Calibri" w:hAnsi="Calibri" w:eastAsia="Calibri" w:cs="Calibri"/>
          <w:i/>
          <w:iCs/>
          <w:color w:val="000000"/>
          <w:sz w:val="22"/>
          <w:szCs w:val="22"/>
        </w:rPr>
        <w:t xml:space="preserve">Agromyzidae (Diptera) of economic importance</w:t>
      </w:r>
      <w:r>
        <w:rPr>
          <w:rFonts w:ascii="Calibri" w:hAnsi="Calibri" w:eastAsia="Calibri" w:cs="Calibri"/>
          <w:color w:val="000000"/>
          <w:sz w:val="22"/>
          <w:szCs w:val="22"/>
        </w:rPr>
        <w:t xml:space="preserve">. Series Entomologica 9, 418 pp. Junk, The Hague,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(1982) US celery under threat. </w:t>
      </w:r>
      <w:r>
        <w:rPr>
          <w:rFonts w:ascii="Calibri" w:hAnsi="Calibri" w:eastAsia="Calibri" w:cs="Calibri"/>
          <w:i/>
          <w:iCs/>
          <w:color w:val="000000"/>
          <w:sz w:val="22"/>
          <w:szCs w:val="22"/>
        </w:rPr>
        <w:t xml:space="preserve">Grower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15-18.</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(2003) Effects of temperature and photoperiod on development and reproductive potential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(4), 143-152.</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(2005) Effects of host plants on the development and host preference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135-142.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Sarah Chérasse, ANSES.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EPPO datasheets on pests recommended for regulation. Available online. </w:t>
      </w:r>
      <w:hyperlink r:id="rId45716803a630ab31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131 </w:t>
      </w:r>
      <w:r>
        <w:rPr>
          <w:rFonts w:ascii="Calibri" w:hAnsi="Calibri" w:eastAsia="Calibri" w:cs="Calibri"/>
          <w:i/>
          <w:iCs/>
          <w:color w:val="000000"/>
          <w:sz w:val="22"/>
          <w:szCs w:val="22"/>
        </w:rPr>
        <w:t xml:space="preserve">Liriomyza trifolii.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29-37. </w:t>
      </w:r>
      <w:hyperlink r:id="rId34106803a630ab480" w:history="1">
        <w:r>
          <w:rPr>
            <w:rFonts w:ascii="Calibri" w:hAnsi="Calibri" w:eastAsia="Calibri" w:cs="Calibri"/>
            <w:color w:val="0000CC"/>
            <w:sz w:val="22"/>
            <w:szCs w:val="22"/>
            <w:u w:val="single"/>
          </w:rPr>
          <w:t xml:space="preserve">https://doi.org/10.1111/j.1365-2338.1984.tb01978.x</w:t>
        </w:r>
      </w:hyperlink>
      <w:r>
        <w:rPr>
          <w:rFonts w:ascii="Calibri" w:hAnsi="Calibri" w:eastAsia="Calibri" w:cs="Calibri"/>
          <w:color w:val="000000"/>
          <w:sz w:val="22"/>
          <w:szCs w:val="22"/>
        </w:rPr>
        <w:t xml:space="preserve"> </w:t>
      </w:r>
    </w:p>
    <w:p>
      <w:r>
        <w:drawing>
          <wp:inline distT="0" distB="0" distL="0" distR="0">
            <wp:extent cx="1800000" cy="604800"/>
            <wp:docPr id="2784326" name="name66336803a630ab51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6046803a630ab50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535755">
    <w:multiLevelType w:val="hybridMultilevel"/>
    <w:lvl w:ilvl="0" w:tplc="99488899">
      <w:start w:val="1"/>
      <w:numFmt w:val="decimal"/>
      <w:lvlText w:val="%1."/>
      <w:lvlJc w:val="left"/>
      <w:pPr>
        <w:ind w:left="720" w:hanging="360"/>
      </w:pPr>
    </w:lvl>
    <w:lvl w:ilvl="1" w:tplc="99488899" w:tentative="1">
      <w:start w:val="1"/>
      <w:numFmt w:val="lowerLetter"/>
      <w:lvlText w:val="%2."/>
      <w:lvlJc w:val="left"/>
      <w:pPr>
        <w:ind w:left="1440" w:hanging="360"/>
      </w:pPr>
    </w:lvl>
    <w:lvl w:ilvl="2" w:tplc="99488899" w:tentative="1">
      <w:start w:val="1"/>
      <w:numFmt w:val="lowerRoman"/>
      <w:lvlText w:val="%3."/>
      <w:lvlJc w:val="right"/>
      <w:pPr>
        <w:ind w:left="2160" w:hanging="180"/>
      </w:pPr>
    </w:lvl>
    <w:lvl w:ilvl="3" w:tplc="99488899" w:tentative="1">
      <w:start w:val="1"/>
      <w:numFmt w:val="decimal"/>
      <w:lvlText w:val="%4."/>
      <w:lvlJc w:val="left"/>
      <w:pPr>
        <w:ind w:left="2880" w:hanging="360"/>
      </w:pPr>
    </w:lvl>
    <w:lvl w:ilvl="4" w:tplc="99488899" w:tentative="1">
      <w:start w:val="1"/>
      <w:numFmt w:val="lowerLetter"/>
      <w:lvlText w:val="%5."/>
      <w:lvlJc w:val="left"/>
      <w:pPr>
        <w:ind w:left="3600" w:hanging="360"/>
      </w:pPr>
    </w:lvl>
    <w:lvl w:ilvl="5" w:tplc="99488899" w:tentative="1">
      <w:start w:val="1"/>
      <w:numFmt w:val="lowerRoman"/>
      <w:lvlText w:val="%6."/>
      <w:lvlJc w:val="right"/>
      <w:pPr>
        <w:ind w:left="4320" w:hanging="180"/>
      </w:pPr>
    </w:lvl>
    <w:lvl w:ilvl="6" w:tplc="99488899" w:tentative="1">
      <w:start w:val="1"/>
      <w:numFmt w:val="decimal"/>
      <w:lvlText w:val="%7."/>
      <w:lvlJc w:val="left"/>
      <w:pPr>
        <w:ind w:left="5040" w:hanging="360"/>
      </w:pPr>
    </w:lvl>
    <w:lvl w:ilvl="7" w:tplc="99488899" w:tentative="1">
      <w:start w:val="1"/>
      <w:numFmt w:val="lowerLetter"/>
      <w:lvlText w:val="%8."/>
      <w:lvlJc w:val="left"/>
      <w:pPr>
        <w:ind w:left="5760" w:hanging="360"/>
      </w:pPr>
    </w:lvl>
    <w:lvl w:ilvl="8" w:tplc="99488899" w:tentative="1">
      <w:start w:val="1"/>
      <w:numFmt w:val="lowerRoman"/>
      <w:lvlText w:val="%9."/>
      <w:lvlJc w:val="right"/>
      <w:pPr>
        <w:ind w:left="6480" w:hanging="180"/>
      </w:pPr>
    </w:lvl>
  </w:abstractNum>
  <w:abstractNum w:abstractNumId="94535754">
    <w:multiLevelType w:val="hybridMultilevel"/>
    <w:lvl w:ilvl="0" w:tplc="311475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535754">
    <w:abstractNumId w:val="94535754"/>
  </w:num>
  <w:num w:numId="94535755">
    <w:abstractNumId w:val="9453575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1821252" Type="http://schemas.microsoft.com/office/2011/relationships/commentsExtended" Target="commentsExtended.xml"/><Relationship Id="rId921756498" Type="http://schemas.microsoft.com/office/2011/relationships/people" Target="people.xml"/><Relationship Id="rId96556803a630a6e42" Type="http://schemas.openxmlformats.org/officeDocument/2006/relationships/hyperlink" Target="https://gd.eppo.int/taxon/LIRITR/" TargetMode="External"/><Relationship Id="rId63606803a630a6eab" Type="http://schemas.openxmlformats.org/officeDocument/2006/relationships/hyperlink" Target="https://gd.eppo.int/taxon/LIRITR/categorization" TargetMode="External"/><Relationship Id="rId98886803a630a76e1" Type="http://schemas.openxmlformats.org/officeDocument/2006/relationships/hyperlink" Target="https://gd.eppo.int/taxon/LIRITR/photos" TargetMode="External"/><Relationship Id="rId19996803a630aa44b" Type="http://schemas.openxmlformats.org/officeDocument/2006/relationships/hyperlink" Target="https://www.cabidigitallibrary.org/doi/full/10.1079/cabicompendium.30965" TargetMode="External"/><Relationship Id="rId64896803a630aa52e" Type="http://schemas.openxmlformats.org/officeDocument/2006/relationships/hyperlink" Target="https://doi.org/10.2903/j.efsa.2012.3028" TargetMode="External"/><Relationship Id="rId55486803a630aa69c" Type="http://schemas.openxmlformats.org/officeDocument/2006/relationships/hyperlink" Target="https://food.ec.europa.eu/plants/plant-health-and-biosecurity/europhyt/interceptions_en" TargetMode="External"/><Relationship Id="rId38256803a630aa71c" Type="http://schemas.openxmlformats.org/officeDocument/2006/relationships/hyperlink" Target="https://doi.org/10.1371/journal.pone.0270897" TargetMode="External"/><Relationship Id="rId90606803a630aa76f" Type="http://schemas.openxmlformats.org/officeDocument/2006/relationships/hyperlink" Target="https://doi.org/10.15468/39omei" TargetMode="External"/><Relationship Id="rId71076803a630aa83c" Type="http://schemas.openxmlformats.org/officeDocument/2006/relationships/hyperlink" Target="https://www.ippc.int/static/media/files/publication/en/2017/01/DP_16_2016_En_2017-01-30.pdf" TargetMode="External"/><Relationship Id="rId38426803a630aaa9d" Type="http://schemas.openxmlformats.org/officeDocument/2006/relationships/hyperlink" Target="https://www.plantbiosecuritydiagnostics.net.au/app/uploads/2018/11/NDP-27-American-serpentine-leaf-miner-Liriomyza-trifolii-V1.pdf" TargetMode="External"/><Relationship Id="rId21816803a630aadf1" Type="http://schemas.openxmlformats.org/officeDocument/2006/relationships/hyperlink" Target="http://dx.doi.org/10.5772/53874" TargetMode="External"/><Relationship Id="rId45716803a630ab314" Type="http://schemas.openxmlformats.org/officeDocument/2006/relationships/hyperlink" Target="https://gd.eppo.int" TargetMode="External"/><Relationship Id="rId34106803a630ab480" Type="http://schemas.openxmlformats.org/officeDocument/2006/relationships/hyperlink" Target="https://doi.org/10.1111/j.1365-2338.1984.tb01978.x" TargetMode="External"/><Relationship Id="rId72016803a630a7590" Type="http://schemas.openxmlformats.org/officeDocument/2006/relationships/image" Target="media/imgrId72016803a630a7590.jpg"/><Relationship Id="rId78866803a630a9584" Type="http://schemas.openxmlformats.org/officeDocument/2006/relationships/image" Target="media/imgrId78866803a630a9584.jpg"/><Relationship Id="rId56046803a630ab50f" Type="http://schemas.openxmlformats.org/officeDocument/2006/relationships/image" Target="media/imgrId56046803a630ab50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