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trimeni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trimeni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trimeni</w:t>
            </w:r>
            <w:r>
              <w:rPr>
                <w:rFonts w:ascii="Calibri" w:hAnsi="Calibri" w:eastAsia="Calibri" w:cs="Calibri"/>
                <w:color w:val="000000"/>
                <w:position w:val="-3"/>
                <w:sz w:val="22"/>
                <w:szCs w:val="22"/>
              </w:rPr>
              <w:t xml:space="preserve"> Lindinger</w:t>
            </w:r>
            <w:hyperlink r:id="rId7570679bf73e0f81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22679bf73e0f8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320898" name="name7978679bf73e1024f" descr="14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6.jpg"/>
                          <pic:cNvPicPr/>
                        </pic:nvPicPr>
                        <pic:blipFill>
                          <a:blip r:embed="rId6953679bf73e1024c" cstate="print"/>
                          <a:stretch>
                            <a:fillRect/>
                          </a:stretch>
                        </pic:blipFill>
                        <pic:spPr>
                          <a:xfrm>
                            <a:off x="0" y="0"/>
                            <a:ext cx="2160000" cy="1281600"/>
                          </a:xfrm>
                          <a:prstGeom prst="rect">
                            <a:avLst/>
                          </a:prstGeom>
                          <a:ln w="0">
                            <a:noFill/>
                          </a:ln>
                        </pic:spPr>
                      </pic:pic>
                    </a:graphicData>
                  </a:graphic>
                </wp:inline>
              </w:drawing>
            </w:r>
            <w:hyperlink r:id="rId4862679bf73e103b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has been recorded feeding on the roots of grasses (Poaceae), and occasionally cysts of this species have been found in ant and termite nests (Giard, 1897; Jakubski, 1965). De Klerk (1978) recorded it feeding on the roots of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a vineyard. The species has not been collected many times and its full host range is not known. Grapevine would be the main crop at risk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has been recorded only from South Africa, mainly in the Western Cape province near the towns of Ceres, Tulbagh, Riversdale, Paarl, and at Slanghoek, near Worcester; also in Gauteng province in Pretoria (Jakubski, 1965; de Klerk, 1978).</w:t>
      </w:r>
    </w:p>
    <w:p>
      <w:r>
        <w:drawing>
          <wp:inline distT="0" distB="0" distL="0" distR="0">
            <wp:extent cx="6120000" cy="3067200"/>
            <wp:docPr id="5823580" name="name8927679bf73e1170c" descr="MARG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TR_distribution_map.jpg"/>
                    <pic:cNvPicPr/>
                  </pic:nvPicPr>
                  <pic:blipFill>
                    <a:blip r:embed="rId4906679bf73e117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trimeni</w:t>
      </w:r>
      <w:r>
        <w:rPr>
          <w:rFonts w:ascii="Calibri" w:hAnsi="Calibri" w:eastAsia="Calibri" w:cs="Calibri"/>
          <w:color w:val="000000"/>
          <w:sz w:val="22"/>
          <w:szCs w:val="22"/>
        </w:rPr>
        <w:t xml:space="preserve"> is assumed to be parthenogenetic, as males have never been recorded (Jakubski, 1965; de Klerk, 1978).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second-instar cysts (ground pearls)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are irregularly ovoid and narrower at one end, up to 6.3 mm long and 4.0 mm wide, brassy yellow or bronze coloured with a coppery or pearly iridescent lustre (Jakubski, 1965; de Klerk, 1978); thick-walled and very hard, constructed of distinct overlapping scales but generally with the outer surface smooth (de Klerk, 1978). Of the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species found in South Africa,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the only one whose cyst is iridescent and not spherical (de Klerk, 1978; Watson, 2022). Second instar cysts occur loose in the soil as well as attached to grapevine roots (de Klerk, 1978).</w:t>
      </w:r>
    </w:p>
    <w:p>
      <w:pPr>
        <w:widowControl w:val="on"/>
        <w:pBdr/>
        <w:spacing w:before="220" w:after="220" w:line="240" w:lineRule="auto"/>
        <w:ind w:left="0" w:right="0"/>
        <w:jc w:val="both"/>
      </w:pPr>
      <w:r>
        <w:rPr>
          <w:rFonts w:ascii="Calibri" w:hAnsi="Calibri" w:eastAsia="Calibri" w:cs="Calibri"/>
          <w:color w:val="000000"/>
          <w:sz w:val="22"/>
          <w:szCs w:val="22"/>
        </w:rPr>
        <w:t xml:space="preserve">The slide-mounted second-instar cyst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has 6 pairs of abdominal spiracles, decreasing in size posteriorly, the posterior-most pair being inconspicuous; cicatrices number only 2 on each side, arranged in line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see de Klerk (1978).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Brain (1915), live adult females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resemble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ovoid, dirty white to yellowish, with bodies sparsely covered with short hair-like setae and segmentation clearly visible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but they are slightly smaller (3.9-5.0 mm long and 2.5-4.0 mm wide (de Klerk, 1978)). Like other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they have characteristic enlarged fossorial (digging) forelegs with heavily sclerotised dark-brown claws, and 6 pairs of abdominal spiracles (Jakubski, 1965; de Klerk, 1978). The abdominal spiracles are relatively short and robust; bluntly pointed spines are absent from the medial areas but present on the margins and submargins of wider parts of the body (de Klerk, 1978). Multilocular pores are absent from surfaces of the head and prothorax but are present on other parts of the venter; and mid- and hind-leg claws are each long (182‒201 μm) and only slightly curved, with the inner surface smooth (Watson, 2022). For a detailed morphological description and illustration of the adult female stage, see de Klerk (1978). Apparently parthenogenetic, this species has not been recorded producing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the vine roots and surrounding soil down to a depth of 1.2 m should be inspected.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brassy yellow or bronze-coloured, smooth, iridescent ovoid cysts each up to 6.3 mm long (de Klerk, 1978; Watson, 2022). Cysts attached to roots or free in the soil are present throughout the year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De Klerk (1978) recorded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causing patches of dieback of grapevines in a vineyard. Ground pearls are difficult to control due to their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cultivars resistant to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have been found; nor have any natural enemies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up to 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trimeni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assumed to be parthenogenetic and males have never been recorded, there is no sex pheromone to exploit to monitor population levels by trapping males or for mating disruption.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trimeni </w:t>
      </w:r>
      <w:r>
        <w:rPr>
          <w:rFonts w:ascii="Calibri" w:hAnsi="Calibri" w:eastAsia="Calibri" w:cs="Calibri"/>
          <w:color w:val="000000"/>
          <w:sz w:val="22"/>
          <w:szCs w:val="22"/>
        </w:rPr>
        <w:t xml:space="preserve">occurs mainly in the Western Cape province of South Africa, including in the vicinity of Ceres, Tulbagh, Paarl, Slanghoek (near Worcester) and Riversdale, although it has also been recorded in Pretoria (Gauteng province). The climate in the Western Cape varies from warm, dry temperate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Köppen-Geiger climate type Csa) to cold, arid steppe (Köppen-Geiger climate type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Margarodidae), with detailed studies on the biology of two vine infesting species. PhD thesis</w:t>
      </w:r>
      <w:r>
        <w:rPr>
          <w:rFonts w:ascii="Calibri" w:hAnsi="Calibri" w:eastAsia="Calibri" w:cs="Calibri"/>
          <w:color w:val="000000"/>
          <w:sz w:val="22"/>
          <w:szCs w:val="22"/>
        </w:rPr>
        <w:t xml:space="preserve">, Stellenbosch University, (SA).</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5256679bf73e12933"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1323679bf73e12cdb"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8596679bf73e12d91"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1812679bf73e12e24"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1222679bf73e12ec0"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8547679bf73e12f1a"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Giard A (1897) Sur la distribution géographique de cochenilles du genre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et sur deux espèces nouvelles de ce genre. </w:t>
      </w:r>
      <w:r>
        <w:rPr>
          <w:rFonts w:ascii="Calibri" w:hAnsi="Calibri" w:eastAsia="Calibri" w:cs="Calibri"/>
          <w:i/>
          <w:iCs/>
          <w:color w:val="000000"/>
          <w:sz w:val="22"/>
          <w:szCs w:val="22"/>
        </w:rPr>
        <w:t xml:space="preserve">Comptes Rendus des Séances de la Société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683-685.</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EPPO datasheets on pests recommended for regulation. Available online. </w:t>
      </w:r>
      <w:hyperlink r:id="rId7101679bf73e131c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9319549" name="name4786679bf73e132b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30679bf73e132a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850889">
    <w:multiLevelType w:val="hybridMultilevel"/>
    <w:lvl w:ilvl="0" w:tplc="91764477">
      <w:start w:val="1"/>
      <w:numFmt w:val="decimal"/>
      <w:lvlText w:val="%1."/>
      <w:lvlJc w:val="left"/>
      <w:pPr>
        <w:ind w:left="720" w:hanging="360"/>
      </w:pPr>
    </w:lvl>
    <w:lvl w:ilvl="1" w:tplc="91764477" w:tentative="1">
      <w:start w:val="1"/>
      <w:numFmt w:val="lowerLetter"/>
      <w:lvlText w:val="%2."/>
      <w:lvlJc w:val="left"/>
      <w:pPr>
        <w:ind w:left="1440" w:hanging="360"/>
      </w:pPr>
    </w:lvl>
    <w:lvl w:ilvl="2" w:tplc="91764477" w:tentative="1">
      <w:start w:val="1"/>
      <w:numFmt w:val="lowerRoman"/>
      <w:lvlText w:val="%3."/>
      <w:lvlJc w:val="right"/>
      <w:pPr>
        <w:ind w:left="2160" w:hanging="180"/>
      </w:pPr>
    </w:lvl>
    <w:lvl w:ilvl="3" w:tplc="91764477" w:tentative="1">
      <w:start w:val="1"/>
      <w:numFmt w:val="decimal"/>
      <w:lvlText w:val="%4."/>
      <w:lvlJc w:val="left"/>
      <w:pPr>
        <w:ind w:left="2880" w:hanging="360"/>
      </w:pPr>
    </w:lvl>
    <w:lvl w:ilvl="4" w:tplc="91764477" w:tentative="1">
      <w:start w:val="1"/>
      <w:numFmt w:val="lowerLetter"/>
      <w:lvlText w:val="%5."/>
      <w:lvlJc w:val="left"/>
      <w:pPr>
        <w:ind w:left="3600" w:hanging="360"/>
      </w:pPr>
    </w:lvl>
    <w:lvl w:ilvl="5" w:tplc="91764477" w:tentative="1">
      <w:start w:val="1"/>
      <w:numFmt w:val="lowerRoman"/>
      <w:lvlText w:val="%6."/>
      <w:lvlJc w:val="right"/>
      <w:pPr>
        <w:ind w:left="4320" w:hanging="180"/>
      </w:pPr>
    </w:lvl>
    <w:lvl w:ilvl="6" w:tplc="91764477" w:tentative="1">
      <w:start w:val="1"/>
      <w:numFmt w:val="decimal"/>
      <w:lvlText w:val="%7."/>
      <w:lvlJc w:val="left"/>
      <w:pPr>
        <w:ind w:left="5040" w:hanging="360"/>
      </w:pPr>
    </w:lvl>
    <w:lvl w:ilvl="7" w:tplc="91764477" w:tentative="1">
      <w:start w:val="1"/>
      <w:numFmt w:val="lowerLetter"/>
      <w:lvlText w:val="%8."/>
      <w:lvlJc w:val="left"/>
      <w:pPr>
        <w:ind w:left="5760" w:hanging="360"/>
      </w:pPr>
    </w:lvl>
    <w:lvl w:ilvl="8" w:tplc="91764477" w:tentative="1">
      <w:start w:val="1"/>
      <w:numFmt w:val="lowerRoman"/>
      <w:lvlText w:val="%9."/>
      <w:lvlJc w:val="right"/>
      <w:pPr>
        <w:ind w:left="6480" w:hanging="180"/>
      </w:pPr>
    </w:lvl>
  </w:abstractNum>
  <w:abstractNum w:abstractNumId="97850888">
    <w:multiLevelType w:val="hybridMultilevel"/>
    <w:lvl w:ilvl="0" w:tplc="828335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850888">
    <w:abstractNumId w:val="97850888"/>
  </w:num>
  <w:num w:numId="97850889">
    <w:abstractNumId w:val="978508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2058813" Type="http://schemas.microsoft.com/office/2011/relationships/commentsExtended" Target="commentsExtended.xml"/><Relationship Id="rId465832783" Type="http://schemas.microsoft.com/office/2011/relationships/people" Target="people.xml"/><Relationship Id="rId7570679bf73e0f81a" Type="http://schemas.openxmlformats.org/officeDocument/2006/relationships/hyperlink" Target="https://gd.eppo.int/taxon/MARGTR/" TargetMode="External"/><Relationship Id="rId1222679bf73e0f862" Type="http://schemas.openxmlformats.org/officeDocument/2006/relationships/hyperlink" Target="https://gd.eppo.int/taxon/MARGTR/categorization" TargetMode="External"/><Relationship Id="rId4862679bf73e103b3" Type="http://schemas.openxmlformats.org/officeDocument/2006/relationships/hyperlink" Target="https://gd.eppo.int/taxon/MARGTR/photos" TargetMode="External"/><Relationship Id="rId5256679bf73e12933" Type="http://schemas.openxmlformats.org/officeDocument/2006/relationships/hyperlink" Target="https://www.wineland.co.za/identification-control-management-grapevine-margarodes/" TargetMode="External"/><Relationship Id="rId1323679bf73e12cdb" Type="http://schemas.openxmlformats.org/officeDocument/2006/relationships/hyperlink" Target="https://efsa.onlinelibrary.wiley.com/doi/epdf/10.2903/j.efsa.2019.5672" TargetMode="External"/><Relationship Id="rId8596679bf73e12d91" Type="http://schemas.openxmlformats.org/officeDocument/2006/relationships/hyperlink" Target="https://gd.eppo.int/download/standard/206/pm7-082-1-en.pdf" TargetMode="External"/><Relationship Id="rId1812679bf73e12e24" Type="http://schemas.openxmlformats.org/officeDocument/2006/relationships/hyperlink" Target="https://onlinelibrary.wiley.com/doi/epdf/10.1111/epp.12340" TargetMode="External"/><Relationship Id="rId1222679bf73e12ec0" Type="http://schemas.openxmlformats.org/officeDocument/2006/relationships/hyperlink" Target="https://gd.eppo.int/download/standard/738/pm3-085-1-en.pdf" TargetMode="External"/><Relationship Id="rId8547679bf73e12f1a" Type="http://schemas.openxmlformats.org/officeDocument/2006/relationships/hyperlink" Target="https://eur-lex.europa.eu/legal-content/EN/TXT/?uri=CELEX%3A32019R2072" TargetMode="External"/><Relationship Id="rId7101679bf73e131cf" Type="http://schemas.openxmlformats.org/officeDocument/2006/relationships/hyperlink" Target="https://gd.eppo.int" TargetMode="External"/><Relationship Id="rId6953679bf73e1024c" Type="http://schemas.openxmlformats.org/officeDocument/2006/relationships/image" Target="media/imgrId6953679bf73e1024c.jpg"/><Relationship Id="rId4906679bf73e11707" Type="http://schemas.openxmlformats.org/officeDocument/2006/relationships/image" Target="media/imgrId4906679bf73e11707.jpg"/><Relationship Id="rId3630679bf73e132af" Type="http://schemas.openxmlformats.org/officeDocument/2006/relationships/image" Target="media/imgrId3630679bf73e132a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