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Melampsora farlowii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Melampsora farlowii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(Arthur)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Melampsoraceae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Chrysomyxa farlowii</w:t>
            </w:r>
            <w:r>
              <w:rPr>
                <w:rFonts w:ascii="Calibri" w:hAnsi="Calibri" w:eastAsia="Calibri" w:cs="Calibri"/>
                <w:color w:val="000000"/>
                <w:position w:val="-3"/>
                <w:sz w:val="22"/>
                <w:szCs w:val="22"/>
              </w:rPr>
              <w:t xml:space="preserve"> (Arthur) Saccardo &amp; Traverso, </w:t>
            </w:r>
            <w:r>
              <w:rPr>
                <w:rFonts w:ascii="Calibri" w:hAnsi="Calibri" w:eastAsia="Calibri" w:cs="Calibri"/>
                <w:i/>
                <w:iCs/>
                <w:color w:val="000000"/>
                <w:position w:val="-3"/>
                <w:sz w:val="22"/>
                <w:szCs w:val="22"/>
              </w:rPr>
              <w:t xml:space="preserve">Necium farlowii</w:t>
            </w:r>
            <w:r>
              <w:rPr>
                <w:rFonts w:ascii="Calibri" w:hAnsi="Calibri" w:eastAsia="Calibri" w:cs="Calibri"/>
                <w:color w:val="000000"/>
                <w:position w:val="-3"/>
                <w:sz w:val="22"/>
                <w:szCs w:val="22"/>
              </w:rPr>
              <w:t xml:space="preserve"> Arthur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hemlock twig rust, rust of hemlock, rust of tsuga</w:t>
            </w:r>
            <w:hyperlink r:id="rId96816803a8230be8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7626803a8230bee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MELMFA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587606" name="name11956803a8230c5e9" descr="14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27.jpg"/>
                          <pic:cNvPicPr/>
                        </pic:nvPicPr>
                        <pic:blipFill>
                          <a:blip r:embed="rId66436803a8230c5e7" cstate="print"/>
                          <a:stretch>
                            <a:fillRect/>
                          </a:stretch>
                        </pic:blipFill>
                        <pic:spPr>
                          <a:xfrm>
                            <a:off x="0" y="0"/>
                            <a:ext cx="2160000" cy="1281600"/>
                          </a:xfrm>
                          <a:prstGeom prst="rect">
                            <a:avLst/>
                          </a:prstGeom>
                          <a:ln w="0">
                            <a:noFill/>
                          </a:ln>
                        </pic:spPr>
                      </pic:pic>
                    </a:graphicData>
                  </a:graphic>
                </wp:inline>
              </w:drawing>
            </w:r>
            <w:hyperlink r:id="rId83356803a8230cb5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an autoecious, microcyclic rust fungus with a telial stage and teliospores. Teliospores can germinate and produce basidia and basidiospores. The fungus species was first considered under the monotypic genus </w:t>
      </w:r>
      <w:r>
        <w:rPr>
          <w:rFonts w:ascii="Calibri" w:hAnsi="Calibri" w:eastAsia="Calibri" w:cs="Calibri"/>
          <w:i/>
          <w:iCs/>
          <w:color w:val="000000"/>
          <w:sz w:val="22"/>
          <w:szCs w:val="22"/>
        </w:rPr>
        <w:t xml:space="preserve">Necium</w:t>
      </w:r>
      <w:r>
        <w:rPr>
          <w:rFonts w:ascii="Calibri" w:hAnsi="Calibri" w:eastAsia="Calibri" w:cs="Calibri"/>
          <w:color w:val="000000"/>
          <w:sz w:val="22"/>
          <w:szCs w:val="22"/>
        </w:rPr>
        <w:t xml:space="preserve"> J.C. Arthur, as </w:t>
      </w:r>
      <w:r>
        <w:rPr>
          <w:rFonts w:ascii="Calibri" w:hAnsi="Calibri" w:eastAsia="Calibri" w:cs="Calibri"/>
          <w:i/>
          <w:iCs/>
          <w:color w:val="000000"/>
          <w:sz w:val="22"/>
          <w:szCs w:val="22"/>
        </w:rPr>
        <w:t xml:space="preserve">N. farlowii</w:t>
      </w:r>
      <w:r>
        <w:rPr>
          <w:rFonts w:ascii="Calibri" w:hAnsi="Calibri" w:eastAsia="Calibri" w:cs="Calibri"/>
          <w:color w:val="000000"/>
          <w:sz w:val="22"/>
          <w:szCs w:val="22"/>
        </w:rPr>
        <w:t xml:space="preserve">, because of its host range and unique life cycle (Arthur 1907). Later on, Saccardo and Traverso (1910) considered the fungus under the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 farlowii</w:t>
      </w:r>
      <w:r>
        <w:rPr>
          <w:rFonts w:ascii="Calibri" w:hAnsi="Calibri" w:eastAsia="Calibri" w:cs="Calibri"/>
          <w:color w:val="000000"/>
          <w:sz w:val="22"/>
          <w:szCs w:val="22"/>
        </w:rPr>
        <w:t xml:space="preserve">. Finally, Davis (1915) transferred this taxon from </w:t>
      </w:r>
      <w:r>
        <w:rPr>
          <w:rFonts w:ascii="Calibri" w:hAnsi="Calibri" w:eastAsia="Calibri" w:cs="Calibri"/>
          <w:i/>
          <w:iCs/>
          <w:color w:val="000000"/>
          <w:sz w:val="22"/>
          <w:szCs w:val="22"/>
        </w:rPr>
        <w:t xml:space="preserve">Necium</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M. farlowii.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is a common host for the aecia of the macrocyclic (=long-cycled) rust </w:t>
      </w:r>
      <w:r>
        <w:rPr>
          <w:rFonts w:ascii="Calibri" w:hAnsi="Calibri" w:eastAsia="Calibri" w:cs="Calibri"/>
          <w:i/>
          <w:iCs/>
          <w:color w:val="000000"/>
          <w:sz w:val="22"/>
          <w:szCs w:val="22"/>
        </w:rPr>
        <w:t xml:space="preserve">Melampsora abietis-canadensis</w:t>
      </w:r>
      <w:r>
        <w:rPr>
          <w:rFonts w:ascii="Calibri" w:hAnsi="Calibri" w:eastAsia="Calibri" w:cs="Calibri"/>
          <w:color w:val="000000"/>
          <w:sz w:val="22"/>
          <w:szCs w:val="22"/>
        </w:rPr>
        <w:t xml:space="preserve"> and for the telia of the microcyclic (=short-cycled)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abietis-canadensis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may be considered as ‘correlated species’ occurring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(Arthur, 1934; Jackson, 1931).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hemlock trees,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Some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have been introduced as ornamental trees in the EPPO region and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is a relatively important forest species in some EPPO countries (though not recorded as a host of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caused by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has only been reported from eastern North America and Alaska, so far. In Canada, the pathogen is reported in Nova Scotia and Quebec on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In the USA, the disease is reported as present in Alaska, Connecticut, Georgia, Maine, Massachusetts, Michigan, New Hampshire, New York, Pennsylvania, Tennessee, Vermont, Virginia, West Virginia, Wisconsin on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and from North Carolina on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(Hepting and Toole 1939; Kenaley and Hudler, 2010; MyCoPortal, 2023). The rust fungus is found mainly at higher altitudes in the southern part of its range (CABI, 2019).</w:t>
      </w:r>
    </w:p>
    <w:p>
      <w:r>
        <w:drawing>
          <wp:inline distT="0" distB="0" distL="0" distR="0">
            <wp:extent cx="6120000" cy="3067200"/>
            <wp:docPr id="77257711" name="name82396803a8230dd52" descr="MELM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MFA_distribution_map.jpg"/>
                    <pic:cNvPicPr/>
                  </pic:nvPicPr>
                  <pic:blipFill>
                    <a:blip r:embed="rId46976803a8230dd4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Québec), United States of America (Alaska, Connecticut, Georgia, Maine, Massachusetts, Michigan, New Hampshire, New York, North Carolina, Pennsylvania, Tennessee,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a microcyclic, autoecious rust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affecting leaves, twigs and cones, and for which only the telial and basidial stages are known. Telia overwinter on twigs and cones killed the previous spring, and spore release coincides with hemlock bud burst. Given favourable meteorological conditions (i.e., cool, wet weather), teliospores germinate in place, producing abundant basidiospores from early May to June. These basidiospores infect the current season's leaves and cones; further telia appear within 2-4 weeks of infection. Telia mature throughout the growing season and represent the overwintering state of the fungus as sori on cones and twigs, giving rise to basidiospores the following spring (Hepting and Toole, 1939; Hepting, 1971; Kenaley and Hudler, 2010; Peace, 1962).</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Incidence of the disease is affected by rainfall, the duration of which is more important than the amount; short showers often do not last long enough for basidiospores to be produced. In spring (late April – early June), ten or more continuous hours of precipitation appear to be required for teliospore germination and the resultant production of basidiospores. Dew is insufficient for teliospore germination. Thus, cool (10 –18° C), wet weather lasting greater than one-day is sufficient for teliospore germination and the production of basidiospores. Disease severity seems to vary with altitude; it was reported as being severe in nurseries at 1200 and 1300 m and practically absent from a nursery nearby at 830 m; it may be that the lower temperatures at higher altitudes favour development of the fungus (CABI, 2019; Hepting and Toole, 1939; Kenaley and Hudler,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causes shoot blight and shoot curl of the current season’s shoots of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Leaves, cones and twigs are generally attacked. In addition to causing death and malformation of branches, the disease also causes abortion of newly formed cones. The first symptom in the spring is a yellowing of the new leaves, one month or so after bud burst. Seven to 10 days later, the shoots at the leaf bases turn orange and then become flaccid, causing the shoots to droop. Uninfected needles drop from affected twigs resulting in few needles remaining on the twig at points distal to the point of infection. Infected twigs later curl as the fungus invades the vascular tissue and remain on the tree for a year or more. Infected cones remain closed, do not produce seed and are frequently discoloured, shrivelled and mummified. Small swollen places on the cone scales indicate the presence of telia. Aborted cones often persist on affected trees (Hepting, 1971; Hepting and Toole, 1939; Kenaley and Hudler, 2010).</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can be destructive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in nurseries. Nursery-grown hemlocks, 0.6-5 m high, are especially liable to severe attack. However, in the forest, this rust apparently does little damage, killing only occasional twigs and aborting cones, although trees up to 26 m may also be infected. Since diseased cones produce no seed, the rust can also affect the seed crop (CABI, 2019; Hepting and Toole, 1939; Hepting, 1971; Kenaley and Hudler,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Telia are hypophyllous, occasionally epiphyllous and on cones and twigs, waxy, reddish to rust-brown, linear, confluent, composed of single palisades of sessile teliospores that form just beneath the epidermis (subepidermal). Teliospores are oblong or cylindric (7-10 x 35-58 µm), teliospore wall is yellowish-brown, smooth, uniformly 0.5-1 µm thick or slightly thicker on the upper part. Basidiospores are spherical, reddish yellow, with an average diameter of 8 µm. Spermogonia, aecia and uredinia have not been found (Arthur 1934, Kenaley and Hudler 2010, Peace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identified based on symptoms and morphological descriptions of telia, teliospores and basidiospores previously described on this datasheet (see Detection and identification part).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detected by inspecting the abaxial surface of the needles or twigs for waxy linear telial pustules that are subepidermal, reddish to rust-brown and remaining covered. The fungus can be positively identified on the basis of symptoms and morphological features.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the only rust fungus with a telial state has been reported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It can be distinguished by its 1-celled, sessile, laterally adherent oblong or cylindric teliospores (Arthur, 1934; EFSA PLH Panel, 2018; Kenaley and Hudler,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the spread of the disease is ensured by basidiospore dispersal (CABI, 2019). In international trade,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is liable to be carried on infected host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is the most destructive rust attacking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canadensis</w:t>
      </w:r>
      <w:r>
        <w:rPr>
          <w:rFonts w:ascii="Calibri" w:hAnsi="Calibri" w:eastAsia="Calibri" w:cs="Calibri"/>
          <w:color w:val="000000"/>
          <w:sz w:val="22"/>
          <w:szCs w:val="22"/>
        </w:rPr>
        <w:t xml:space="preserve">. Although not generally a problem in forests in natural stands along the Appalachian range, hemlock twig rust can cause damage in commercial tree nurseries, where cultural conditions favour the development of the disease (Hepting and Toole, 1939; Kenaley &amp; Hudler, 2010). In commercial nurseries raising ornamental trees,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plants a few years old are often rendered unsaleable following attack. In addition to causing death and malformation of branches, the disease also causes abortion of newly formed cones (Hepting and Toole, 1939; Hepting,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Kenaley and Hudler (2010) recommend spraying with triadimefon, neem oil or mancozeb once when buds break and twice at 7 - 14-day intervals in commercial nurseries. As inoculum produced within infected nursery beds or cultures will persist, it is also recommended to not plant susceptible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species in areas where disease is severe (Kenaley and Hudler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is potentially dangerous to all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wherever these are grown in particular in commercial nurseries. The rust could probably cause damage to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which is a relatively important forest species in some EPPO countries, and may increase in importance in the future. Since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occurs commonly in north-eastern North America, it is reasonable to expect that its optimum development at lower latitudes would be at higher elevations.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(EPPO, 2018) recommend that plants for planting (except seeds) and cut branches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should come from pest-free areas. In the EU, the importation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plants other than fruit and seeds in prohibited from any non-European country (EFSA PLH Panel,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(1907). Coleosporiaceae, Uredinaceae, Aecidiaceae (Pars). </w:t>
      </w:r>
      <w:r>
        <w:rPr>
          <w:rFonts w:ascii="Calibri" w:hAnsi="Calibri" w:eastAsia="Calibri" w:cs="Calibri"/>
          <w:i/>
          <w:iCs/>
          <w:color w:val="000000"/>
          <w:sz w:val="22"/>
          <w:szCs w:val="22"/>
        </w:rPr>
        <w:t xml:space="preserve">North American 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 83-160.</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(1934) </w:t>
      </w:r>
      <w:r>
        <w:rPr>
          <w:rFonts w:ascii="Calibri" w:hAnsi="Calibri" w:eastAsia="Calibri" w:cs="Calibri"/>
          <w:i/>
          <w:iCs/>
          <w:color w:val="000000"/>
          <w:sz w:val="22"/>
          <w:szCs w:val="22"/>
        </w:rPr>
        <w:t xml:space="preserve">Manual of the rusts in United States and Canada</w:t>
      </w:r>
      <w:r>
        <w:rPr>
          <w:rFonts w:ascii="Calibri" w:hAnsi="Calibri" w:eastAsia="Calibri" w:cs="Calibri"/>
          <w:color w:val="000000"/>
          <w:sz w:val="22"/>
          <w:szCs w:val="22"/>
        </w:rPr>
        <w:t xml:space="preserve">. Purdue Research Foundation, Purdue, Indiana, USA.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(hemlock rust)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CABI Compendium. CABI, Wallingford, UK. </w:t>
      </w:r>
      <w:hyperlink r:id="rId19736803a8230e699" w:history="1">
        <w:r>
          <w:rPr>
            <w:rFonts w:ascii="Calibri" w:hAnsi="Calibri" w:eastAsia="Calibri" w:cs="Calibri"/>
            <w:color w:val="0000CC"/>
            <w:sz w:val="22"/>
            <w:szCs w:val="22"/>
            <w:u w:val="single"/>
          </w:rPr>
          <w:t xml:space="preserve">https://www.cabidigitallibrary.org/doi/full/10.1079/cabicompendium.33287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Cummins GB &amp; Hiratsuka Y (2003) Illustrated Genera of Rust Fungi. Third Edition. American Phytopathological Society, St. Paul,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Davis JJ (1915) Notes on parasitic fungi in Wisconsin – II. </w:t>
      </w:r>
      <w:r>
        <w:rPr>
          <w:rFonts w:ascii="Calibri" w:hAnsi="Calibri" w:eastAsia="Calibri" w:cs="Calibri"/>
          <w:i/>
          <w:iCs/>
          <w:color w:val="000000"/>
          <w:sz w:val="22"/>
          <w:szCs w:val="22"/>
        </w:rPr>
        <w:t xml:space="preserve">Transactions of the Wisconsin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93-109.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Di Serio F, Gonthier P, Jacques M, Jaques Miret JA, Fejer Justesen AM, MacLeod A, Magnusson CS, Milonas P, Navas-Cortes JA, Parnell S, Potting R, Reignault PL, Thulke HH, Van der Werf W, Vicent A, Yuen J, Zappala L, Boberg J, Jeger M, Pautasso M, Dehnen-Schmutz K (2018) Pest categorisation of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5442, 19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on Commodity-specific phytosanitary measures. PM 8/2 (3) Coniferae. Available from </w:t>
      </w:r>
      <w:hyperlink r:id="rId76936803a8230e7d0" w:history="1">
        <w:r>
          <w:rPr>
            <w:rFonts w:ascii="Calibri" w:hAnsi="Calibri" w:eastAsia="Calibri" w:cs="Calibri"/>
            <w:color w:val="0000CC"/>
            <w:sz w:val="22"/>
            <w:szCs w:val="22"/>
            <w:u w:val="single"/>
          </w:rPr>
          <w:t xml:space="preserve">https://gd.eppo.int/taxon/MELMFA/documents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386, 489-492.</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&amp; Toole ER (1939) The hemlock rust caused by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463-473.</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HS (1931) Present evolutionary tendencies and the origin of life cycle in the Uredinales. Memoirs of the Torrey Botanical Club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1-108.</w:t>
      </w:r>
    </w:p>
    <w:p>
      <w:pPr>
        <w:widowControl w:val="on"/>
        <w:pBdr/>
        <w:spacing w:before="220" w:after="220" w:line="240" w:lineRule="auto"/>
        <w:ind w:left="0" w:right="0"/>
        <w:jc w:val="left"/>
      </w:pPr>
      <w:r>
        <w:rPr>
          <w:rFonts w:ascii="Calibri" w:hAnsi="Calibri" w:eastAsia="Calibri" w:cs="Calibri"/>
          <w:color w:val="000000"/>
          <w:sz w:val="22"/>
          <w:szCs w:val="22"/>
        </w:rPr>
        <w:t xml:space="preserve">Kenaley SC &amp; Hudler GW (2010) Hemlock twig rust caused by </w:t>
      </w:r>
      <w:r>
        <w:rPr>
          <w:rFonts w:ascii="Calibri" w:hAnsi="Calibri" w:eastAsia="Calibri" w:cs="Calibri"/>
          <w:i/>
          <w:iCs/>
          <w:color w:val="000000"/>
          <w:sz w:val="22"/>
          <w:szCs w:val="22"/>
        </w:rPr>
        <w:t xml:space="preserve">Melamspora farlowii (Arth.)</w:t>
      </w:r>
      <w:r>
        <w:rPr>
          <w:rFonts w:ascii="Calibri" w:hAnsi="Calibri" w:eastAsia="Calibri" w:cs="Calibri"/>
          <w:color w:val="000000"/>
          <w:sz w:val="22"/>
          <w:szCs w:val="22"/>
        </w:rPr>
        <w:t xml:space="preserve"> Davis. Cornell University Factsheet, Ithaca,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(2023) </w:t>
      </w:r>
      <w:hyperlink r:id="rId78326803a8230e943"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on 2023-02-21.</w:t>
      </w:r>
    </w:p>
    <w:p>
      <w:pPr>
        <w:widowControl w:val="on"/>
        <w:pBdr/>
        <w:spacing w:before="220" w:after="220" w:line="240" w:lineRule="auto"/>
        <w:ind w:left="0" w:right="0"/>
        <w:jc w:val="left"/>
      </w:pPr>
      <w:r>
        <w:rPr>
          <w:rFonts w:ascii="Calibri" w:hAnsi="Calibri" w:eastAsia="Calibri" w:cs="Calibri"/>
          <w:color w:val="000000"/>
          <w:sz w:val="22"/>
          <w:szCs w:val="22"/>
        </w:rPr>
        <w:t xml:space="preserve">Peace TR (1962) </w:t>
      </w:r>
      <w:r>
        <w:rPr>
          <w:rFonts w:ascii="Calibri" w:hAnsi="Calibri" w:eastAsia="Calibri" w:cs="Calibri"/>
          <w:i/>
          <w:iCs/>
          <w:color w:val="000000"/>
          <w:sz w:val="22"/>
          <w:szCs w:val="22"/>
        </w:rPr>
        <w:t xml:space="preserve">Pathology of trees and shrubs</w:t>
      </w:r>
      <w:r>
        <w:rPr>
          <w:rFonts w:ascii="Calibri" w:hAnsi="Calibri" w:eastAsia="Calibri" w:cs="Calibri"/>
          <w:color w:val="000000"/>
          <w:sz w:val="22"/>
          <w:szCs w:val="22"/>
        </w:rPr>
        <w:t xml:space="preserve">. Oxford University Press,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Saccardo PA &amp; Traverso JB (1910) Index Iconum fungorum. In Saccardo PA (ed) Sylloge fungorum omnium hucusque cognitorum. Vol 19, Patavia.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2023 by Mehrdad Abbasi, The University of British Columbia (CA).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EPPO datasheets on pests recommended for regulation. Available online. </w:t>
      </w:r>
      <w:hyperlink r:id="rId49586803a8230eaa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15,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9-12. </w:t>
      </w:r>
      <w:hyperlink r:id="rId75656803a8230eb82" w:history="1">
        <w:r>
          <w:rPr>
            <w:rFonts w:ascii="Calibri" w:hAnsi="Calibri" w:eastAsia="Calibri" w:cs="Calibri"/>
            <w:color w:val="0000CC"/>
            <w:sz w:val="22"/>
            <w:szCs w:val="22"/>
            <w:u w:val="single"/>
          </w:rPr>
          <w:t xml:space="preserve">https://doi.org/10.1111/j.1365-2338.1980.tb02687.x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28324899" name="name42906803a8230ec2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016803a8230ec2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450988">
    <w:multiLevelType w:val="hybridMultilevel"/>
    <w:lvl w:ilvl="0" w:tplc="83741112">
      <w:start w:val="1"/>
      <w:numFmt w:val="decimal"/>
      <w:lvlText w:val="%1."/>
      <w:lvlJc w:val="left"/>
      <w:pPr>
        <w:ind w:left="720" w:hanging="360"/>
      </w:pPr>
    </w:lvl>
    <w:lvl w:ilvl="1" w:tplc="83741112" w:tentative="1">
      <w:start w:val="1"/>
      <w:numFmt w:val="lowerLetter"/>
      <w:lvlText w:val="%2."/>
      <w:lvlJc w:val="left"/>
      <w:pPr>
        <w:ind w:left="1440" w:hanging="360"/>
      </w:pPr>
    </w:lvl>
    <w:lvl w:ilvl="2" w:tplc="83741112" w:tentative="1">
      <w:start w:val="1"/>
      <w:numFmt w:val="lowerRoman"/>
      <w:lvlText w:val="%3."/>
      <w:lvlJc w:val="right"/>
      <w:pPr>
        <w:ind w:left="2160" w:hanging="180"/>
      </w:pPr>
    </w:lvl>
    <w:lvl w:ilvl="3" w:tplc="83741112" w:tentative="1">
      <w:start w:val="1"/>
      <w:numFmt w:val="decimal"/>
      <w:lvlText w:val="%4."/>
      <w:lvlJc w:val="left"/>
      <w:pPr>
        <w:ind w:left="2880" w:hanging="360"/>
      </w:pPr>
    </w:lvl>
    <w:lvl w:ilvl="4" w:tplc="83741112" w:tentative="1">
      <w:start w:val="1"/>
      <w:numFmt w:val="lowerLetter"/>
      <w:lvlText w:val="%5."/>
      <w:lvlJc w:val="left"/>
      <w:pPr>
        <w:ind w:left="3600" w:hanging="360"/>
      </w:pPr>
    </w:lvl>
    <w:lvl w:ilvl="5" w:tplc="83741112" w:tentative="1">
      <w:start w:val="1"/>
      <w:numFmt w:val="lowerRoman"/>
      <w:lvlText w:val="%6."/>
      <w:lvlJc w:val="right"/>
      <w:pPr>
        <w:ind w:left="4320" w:hanging="180"/>
      </w:pPr>
    </w:lvl>
    <w:lvl w:ilvl="6" w:tplc="83741112" w:tentative="1">
      <w:start w:val="1"/>
      <w:numFmt w:val="decimal"/>
      <w:lvlText w:val="%7."/>
      <w:lvlJc w:val="left"/>
      <w:pPr>
        <w:ind w:left="5040" w:hanging="360"/>
      </w:pPr>
    </w:lvl>
    <w:lvl w:ilvl="7" w:tplc="83741112" w:tentative="1">
      <w:start w:val="1"/>
      <w:numFmt w:val="lowerLetter"/>
      <w:lvlText w:val="%8."/>
      <w:lvlJc w:val="left"/>
      <w:pPr>
        <w:ind w:left="5760" w:hanging="360"/>
      </w:pPr>
    </w:lvl>
    <w:lvl w:ilvl="8" w:tplc="83741112" w:tentative="1">
      <w:start w:val="1"/>
      <w:numFmt w:val="lowerRoman"/>
      <w:lvlText w:val="%9."/>
      <w:lvlJc w:val="right"/>
      <w:pPr>
        <w:ind w:left="6480" w:hanging="180"/>
      </w:pPr>
    </w:lvl>
  </w:abstractNum>
  <w:abstractNum w:abstractNumId="89450987">
    <w:multiLevelType w:val="hybridMultilevel"/>
    <w:lvl w:ilvl="0" w:tplc="340813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450987">
    <w:abstractNumId w:val="89450987"/>
  </w:num>
  <w:num w:numId="89450988">
    <w:abstractNumId w:val="894509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1047444" Type="http://schemas.microsoft.com/office/2011/relationships/commentsExtended" Target="commentsExtended.xml"/><Relationship Id="rId136765227" Type="http://schemas.microsoft.com/office/2011/relationships/people" Target="people.xml"/><Relationship Id="rId96816803a8230be82" Type="http://schemas.openxmlformats.org/officeDocument/2006/relationships/hyperlink" Target="https://gd.eppo.int/taxon/MELMFA/" TargetMode="External"/><Relationship Id="rId77626803a8230beeb" Type="http://schemas.openxmlformats.org/officeDocument/2006/relationships/hyperlink" Target="https://gd.eppo.int/taxon/MELMFA/categorization" TargetMode="External"/><Relationship Id="rId83356803a8230cb51" Type="http://schemas.openxmlformats.org/officeDocument/2006/relationships/hyperlink" Target="https://gd.eppo.int/taxon/MELMFA/photos" TargetMode="External"/><Relationship Id="rId19736803a8230e699" Type="http://schemas.openxmlformats.org/officeDocument/2006/relationships/hyperlink" Target="https://www.cabidigitallibrary.org/doi/full/10.1079/cabicompendium.33287" TargetMode="External"/><Relationship Id="rId76936803a8230e7d0" Type="http://schemas.openxmlformats.org/officeDocument/2006/relationships/hyperlink" Target="https://gd.eppo.int/taxon/MELMFA/documents" TargetMode="External"/><Relationship Id="rId78326803a8230e943" Type="http://schemas.openxmlformats.org/officeDocument/2006/relationships/hyperlink" Target="http://www.mycoportal.org/portal/index.php." TargetMode="External"/><Relationship Id="rId49586803a8230eaaa" Type="http://schemas.openxmlformats.org/officeDocument/2006/relationships/hyperlink" Target="https://gd.eppo.int" TargetMode="External"/><Relationship Id="rId75656803a8230eb82" Type="http://schemas.openxmlformats.org/officeDocument/2006/relationships/hyperlink" Target="https://doi.org/10.1111/j.1365-2338.1980.tb02687.x" TargetMode="External"/><Relationship Id="rId66436803a8230c5e7" Type="http://schemas.openxmlformats.org/officeDocument/2006/relationships/image" Target="media/imgrId66436803a8230c5e7.jpg"/><Relationship Id="rId46976803a8230dd4d" Type="http://schemas.openxmlformats.org/officeDocument/2006/relationships/image" Target="media/imgrId46976803a8230dd4d.jpg"/><Relationship Id="rId53016803a8230ec2e" Type="http://schemas.openxmlformats.org/officeDocument/2006/relationships/image" Target="media/imgrId53016803a8230ec2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