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medusae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medusae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Caeoma faulliana</w:t>
            </w:r>
            <w:r>
              <w:rPr>
                <w:rFonts w:ascii="Calibri" w:hAnsi="Calibri" w:eastAsia="Calibri" w:cs="Calibri"/>
                <w:color w:val="000000"/>
                <w:position w:val="-3"/>
                <w:sz w:val="22"/>
                <w:szCs w:val="22"/>
              </w:rPr>
              <w:t xml:space="preserve"> Hunter, </w:t>
            </w:r>
            <w:r>
              <w:rPr>
                <w:rFonts w:ascii="Calibri" w:hAnsi="Calibri" w:eastAsia="Calibri" w:cs="Calibri"/>
                <w:i/>
                <w:iCs/>
                <w:color w:val="000000"/>
                <w:position w:val="-3"/>
                <w:sz w:val="22"/>
                <w:szCs w:val="22"/>
              </w:rPr>
              <w:t xml:space="preserve">Melampsora albertensis</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Uredo medusae</w:t>
            </w:r>
            <w:r>
              <w:rPr>
                <w:rFonts w:ascii="Calibri" w:hAnsi="Calibri" w:eastAsia="Calibri" w:cs="Calibri"/>
                <w:color w:val="000000"/>
                <w:position w:val="-3"/>
                <w:sz w:val="22"/>
                <w:szCs w:val="22"/>
              </w:rPr>
              <w:t xml:space="preserve"> (von Thümen)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conifer/poplar rust, leaf rust of poplar</w:t>
            </w:r>
            <w:hyperlink r:id="rId484366854323c254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41266854323c258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MELMME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2438123" name="name342066854323c2e29" descr="1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3.jpg"/>
                          <pic:cNvPicPr/>
                        </pic:nvPicPr>
                        <pic:blipFill>
                          <a:blip r:embed="rId907966854323c2e27" cstate="print"/>
                          <a:stretch>
                            <a:fillRect/>
                          </a:stretch>
                        </pic:blipFill>
                        <pic:spPr>
                          <a:xfrm>
                            <a:off x="0" y="0"/>
                            <a:ext cx="2160000" cy="1281600"/>
                          </a:xfrm>
                          <a:prstGeom prst="rect">
                            <a:avLst/>
                          </a:prstGeom>
                          <a:ln w="0">
                            <a:noFill/>
                          </a:ln>
                        </pic:spPr>
                      </pic:pic>
                    </a:graphicData>
                  </a:graphic>
                </wp:inline>
              </w:drawing>
            </w:r>
            <w:hyperlink r:id="rId279666854323c2f5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Arth. were recognized as distinct species throughout the first half of the 20th century (Sinclair &amp; Lyon, 2005), and then synonymized by Ziller (1965) 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Nevertheless, differences in urediniospore morphology and telial host range prompted Shain (1988) to split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into two formae speciales: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 </w:t>
      </w:r>
      <w:r>
        <w:rPr>
          <w:rFonts w:ascii="Calibri" w:hAnsi="Calibri" w:eastAsia="Calibri" w:cs="Calibri"/>
          <w:color w:val="000000"/>
          <w:sz w:val="22"/>
          <w:szCs w:val="22"/>
        </w:rPr>
        <w:t xml:space="preserve">(later renamed</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produces slightly smaller urediniospores (Shain 1988). Furthermore, a recent multigene phylogeny study showed that these two formae speciales are distinct phylogenetic lineages and therefore should be considered again as distinct species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telial hosts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belonging to the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Tacamahaca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their hybrids and cultivars, whereas the only telial host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with reported infection in nature is </w:t>
      </w:r>
      <w:r>
        <w:rPr>
          <w:rFonts w:ascii="Calibri" w:hAnsi="Calibri" w:eastAsia="Calibri" w:cs="Calibri"/>
          <w:i/>
          <w:iCs/>
          <w:color w:val="000000"/>
          <w:sz w:val="22"/>
          <w:szCs w:val="22"/>
        </w:rPr>
        <w:t xml:space="preserve">P. tremuloides, </w:t>
      </w:r>
      <w:r>
        <w:rPr>
          <w:rFonts w:ascii="Calibri" w:hAnsi="Calibri" w:eastAsia="Calibri" w:cs="Calibri"/>
          <w:color w:val="000000"/>
          <w:sz w:val="22"/>
          <w:szCs w:val="22"/>
        </w:rPr>
        <w:t xml:space="preserve">belonging to the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The aecial hosts are conifers in the family Pinaceae. In North America,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are the principal hosts for the aecial state of the fungus found infected in nature (Ziller, 1965; 1974). In addition, many other conifers, such as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mertensiana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sitchensis</w:t>
      </w:r>
      <w:r>
        <w:rPr>
          <w:rFonts w:ascii="Calibri" w:hAnsi="Calibri" w:eastAsia="Calibri" w:cs="Calibri"/>
          <w:color w:val="000000"/>
          <w:sz w:val="22"/>
          <w:szCs w:val="22"/>
        </w:rPr>
        <w:t xml:space="preserve">, have been artificially infected at the seedling stage. For more information, see Walker &amp; Hartigan (1972) and Pinon (1986).</w:t>
      </w:r>
    </w:p>
    <w:p/>
    <w:p>
      <w:pPr>
        <w:widowControl w:val="on"/>
        <w:pBdr/>
        <w:spacing w:before="0" w:after="0" w:line="240" w:lineRule="auto"/>
        <w:ind w:left="0" w:right="0"/>
        <w:jc w:val="left"/>
      </w:pPr>
      <w:r>
        <w:rPr>
          <w:rFonts w:ascii="Calibri" w:hAnsi="Calibri" w:eastAsia="Calibri" w:cs="Calibri"/>
          <w:color w:val="000000"/>
          <w:sz w:val="22"/>
          <w:szCs w:val="22"/>
        </w:rPr>
        <w:t xml:space="preserve">
Telial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p>
    <w:tbl>
      <w:tblPr>
        <w:tblStyle w:val="NormalTablePHPDOCX"/>
        <w:tblCellMar>
          <w:left w:type="dxa" w:w="0"/>
          <w:right w:type="dxa" w:w="0"/>
        </w:tblCellMar>
        <w:tblW w:w="5000" w:type="pct"/>
        <w:tblCellSpacing w:w="30" w:type="dxa"/>
        <w:tblInd w:w="0" w:type="auto"/>
        <w:tblBorders/>
      </w:tblPr>
      <w:tblGrid>
        <w:gridCol w:w="1833.3333333333"/>
        <w:gridCol w:w="1768.5185185185"/>
        <w:gridCol w:w="1398.1481481481"/>
      </w:tblGrid>
      <w:tr>
        <w:trPr>
          <w:trHeight w:val="0" w:hRule="atLeast"/>
        </w:trPr>
        <w:tc>
          <w:tcPr>
            <w:tcW w:w="1833.3333333333"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Host plant scientific name</w:t>
            </w:r>
          </w:p>
          <w:p/>
        </w:tc>
        <w:tc>
          <w:tcPr>
            <w:tcW w:w="1768.5185185185"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Bibliographic reference</w:t>
            </w:r>
          </w:p>
        </w:tc>
        <w:tc>
          <w:tcPr>
            <w:tcW w:w="1398.1481481481"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w:t>
            </w:r>
            <w:r>
              <w:rPr>
                <w:rFonts w:ascii="Calibri" w:hAnsi="Calibri" w:eastAsia="Calibri" w:cs="Calibri"/>
                <w:color w:val="000000"/>
                <w:position w:val="0"/>
                <w:sz w:val="22"/>
                <w:szCs w:val="22"/>
              </w:rPr>
              <w:t xml:space="preserve"> x</w:t>
            </w:r>
            <w:r>
              <w:rPr>
                <w:rFonts w:ascii="Calibri" w:hAnsi="Calibri" w:eastAsia="Calibri" w:cs="Calibri"/>
                <w:i/>
                <w:iCs/>
                <w:color w:val="000000"/>
                <w:position w:val="0"/>
                <w:sz w:val="22"/>
                <w:szCs w:val="22"/>
              </w:rPr>
              <w:t xml:space="preserve"> 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Hiratsuka (1939)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simonii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Sharma &amp; Heather (1976)</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trichocarpa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trichocarpa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mexicana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Lloyd &amp; Smith (2018)</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Abaso</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szechuanica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yunnanensis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Telial host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p>
    <w:tbl>
      <w:tblPr>
        <w:tblStyle w:val="NormalTablePHPDOCX"/>
        <w:tblCellMar>
          <w:left w:type="dxa" w:w="0"/>
          <w:right w:type="dxa" w:w="0"/>
        </w:tblCellMar>
        <w:tblW w:w="0" w:type="auto"/>
        <w:tblCellSpacing w:w="30" w:type="dxa"/>
        <w:tblInd w:w="0" w:type="auto"/>
        <w:tblBorders/>
      </w:tblPr>
      <w:tblGrid>
        <w:gridCol w:w="1833.3333333333"/>
        <w:gridCol w:w="1768.5185185185"/>
        <w:gridCol w:w="1398.1481481481"/>
      </w:tblGrid>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tremuloides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(1955)</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Populus</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Aecial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with reported infection in nature
</w:t>
      </w:r>
    </w:p>
    <w:tbl>
      <w:tblPr>
        <w:tblStyle w:val="NormalTablePHPDOCX"/>
        <w:tblCellMar>
          <w:left w:type="dxa" w:w="0"/>
          <w:right w:type="dxa" w:w="0"/>
        </w:tblCellMar>
        <w:tblW w:w="0" w:type="auto"/>
        <w:tblCellSpacing w:w="30" w:type="dxa"/>
        <w:tblInd w:w="0" w:type="auto"/>
        <w:tblBorders/>
      </w:tblPr>
      <w:tblGrid>
        <w:gridCol w:w="2544.9871465296"/>
        <w:gridCol w:w="2455.0128534704"/>
      </w:tblGrid>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Larix laricina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occidentalis</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decidua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Spiers (1975)</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Pseudotsuga menziesii</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Pinus contorta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ponderosa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jackii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is indigenous to North America. Based on the poplar clones infected outside North America, it appears that only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from there to other continents (Hiratsuka, 1939; Dupias, 1965; Wilkinson &amp; Spiers, 1976;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no evidence that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has ever been found on any other continent. Although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was first reported from Spain about one century ago (Fragoso, 1925), it has failed to become invasive in Europe and its distribution is restricted to Southwestern Europe (Pinon, 1986;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report from Uruguay (Walker, 1975) is based on a single doubtful record, which may refer to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w:t>
      </w:r>
    </w:p>
    <w:p>
      <w:r>
        <w:drawing>
          <wp:inline distT="0" distB="0" distL="0" distR="0">
            <wp:extent cx="6120000" cy="3067200"/>
            <wp:docPr id="70572351" name="name476366854323c60c1" descr="MELMM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ME_distribution_map.jpg"/>
                    <pic:cNvPicPr/>
                  </pic:nvPicPr>
                  <pic:blipFill>
                    <a:blip r:embed="rId526566854323c60b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Hubei, Jiangsu, Shaanxi, Sichuan), India (Himachal Pradesh),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Mexico, United States of America (Alabama, Alaska, Arizona, Arkansas, California, Colorado, Connecticut, Florida, Georgia, Idaho, Illinois, Indiana, Iowa, Kansas, Kentucky, Louisiana, Maine, Maryland, Massachusetts, Michigan, Minnesota, Mississippi, Missouri, Montana, Nebraska, New Hampshire, New Jersey, New Mexico, New York, North Carolina, North Dakota, Ohio, Oklahoma, Oregon, Pennsylvania, South Carolina, South Dakota, Tennessee, Texas, Vermont,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heteroecious but, in mild climates, the urediniospore stage is able to overwinter in buds and bark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without the need for an alternate host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Wilkinson &amp; Spiers, 1976). Basidiospores from overwintered telia 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infect conifer needles in spring. Pycnia and aecia are produced on these needles, and aeciospores, which may be carried over long distances in the wind, infect susceptible poplars in the summer; these spores cannot reinfect the conifer hosts. The urediniospores produced on poplars can also be carried long distances by wind (Wilkinson &amp; Spiers, 1976). Urediniospores are the main source of inoculum in the Southern Hemisphere and warmer regions of the Northern Hemisphere, in which the overwintering of teliospores with the subsequent spring formation of basidiospores and alternation on coniferous hosts has not yet been observed (Walker, 1975; Sinclair and Lyon, 2005). In its native range (North America), it was shown that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alternates in the northern larch-poplar area of sympatry, and then spreads asexually to southern regions without larch (Bourassa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 penetration of poplar leaves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accomplished by germ tubes which are formed by the urediniospores. These germ tubes follow the leaf surface and enter the leaf through the stomata with or without forming appressoria. Substomatal vesicles are formed which extend and delimit several cells, of which one functions as the haustorial mother cell; this forms a haustorium and finally establishes the host infection (Spiers &amp; Hopcroft, 1988).</w:t>
      </w:r>
    </w:p>
    <w:p>
      <w:pPr>
        <w:widowControl w:val="on"/>
        <w:pBdr/>
        <w:spacing w:before="220" w:after="220" w:line="240" w:lineRule="auto"/>
        <w:ind w:left="0" w:right="0"/>
        <w:jc w:val="both"/>
      </w:pPr>
      <w:r>
        <w:rPr>
          <w:rFonts w:ascii="Calibri" w:hAnsi="Calibri" w:eastAsia="Calibri" w:cs="Calibri"/>
          <w:color w:val="000000"/>
          <w:sz w:val="22"/>
          <w:szCs w:val="22"/>
        </w:rPr>
        <w:t xml:space="preserve">Wet, warm and humid weather conditions favour rapid spread of the disease. For more information, see Hepting (1971), McMillan (1972), Ziller (1974), Spiers &amp; Hopcroft (1985; 1988).</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different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isolates showed the occurrence of several distinct races of the fungus which also varied in their aggressiveness (Prakash &amp; Thielges, 1987;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diversity of virulence is mainly influenced by temperature (Prakash &amp; Thielges, 1989), but also by geographical location. In experiments, isolates from a northern latitude were more aggressive than isolates sampled at a more southern latitude (Prakash &amp; Thielges, 1987).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into the southern hemisphere also resulted in its hybridization with the Eurasian poplar rust fungus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which was also introduced,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medusae-populina</w:t>
      </w:r>
      <w:r>
        <w:rPr>
          <w:rFonts w:ascii="Calibri" w:hAnsi="Calibri" w:eastAsia="Calibri" w:cs="Calibri"/>
          <w:color w:val="000000"/>
          <w:sz w:val="22"/>
          <w:szCs w:val="22"/>
        </w:rPr>
        <w:t xml:space="preserve"> (Spiers &amp; Hopcroft, 1994;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upon its introduction in the Pacific Northwest of the USA,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hybridized with the native rust fungus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columbiana</w:t>
      </w:r>
      <w:r>
        <w:rPr>
          <w:rFonts w:ascii="Calibri" w:hAnsi="Calibri" w:eastAsia="Calibri" w:cs="Calibri"/>
          <w:color w:val="000000"/>
          <w:sz w:val="22"/>
          <w:szCs w:val="22"/>
        </w:rPr>
        <w:t xml:space="preserve">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Populus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of infection are yellow uredinia, which appear 1-2 weeks after infection on the underside of the leaves (or both sides, in heavy infections). Lower leaves are affected first and then infection spreads over the whole tree; the leaves desiccate and fall prematurely. Trees may be stripped of all foliage within 3 weeks. Similar symptoms may be caused by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 laricis-populina, M. allii-populina</w:t>
      </w:r>
      <w:r>
        <w:rPr>
          <w:rFonts w:ascii="Calibri" w:hAnsi="Calibri" w:eastAsia="Calibri" w:cs="Calibri"/>
          <w:color w:val="000000"/>
          <w:sz w:val="22"/>
          <w:szCs w:val="22"/>
        </w:rPr>
        <w:t xml:space="preserve">) which are widespread on poplars in Europe.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conifers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conifer-alternating poplar rusts, the impact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its aecial host is much lower than on the telial host. The current year's needles become discoloured and necrotic and bear pycnia and aecia. The infected needles die and fall.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Ziller (1955), Hepting (1971), McMillan (1972), Walker &amp; Hartigan (1972), Sharma &amp; Heather (1977),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size measurements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are not sufficient for positive identification. However, the presence of smooth (non-echinulate) patches at the equator of urediniospores is a highly diagnostic feature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since no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infecting poplar shares this feature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Therefore, morphological diagnosis is quite straightforward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it remains time-consuming, especially for detecting a small amount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in a mixture with those of other more abundant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which would be likely to be the case in Europe (EPPO Diagnostic Protocol PM 7/93). However, the two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cannot be distinguished with morphology since they share grossly identical morphological features and can only be distinguished according to their respective host range, or using a DNA-based method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Aeciospores are 16-21 x 19-26 µm, with wall bilaterally thickened (3-4 µm) on opposite sides. Urediniospores are ellipsoid or obovoid, with wall bilaterally thickened, and with smooth areas at the equator; the smooth areas are best seen when spores are trapped in air bubbles; therefore, when making mounts, the cover slip should be dropped on quickly to include as many bubbles as possible; use x40 objective and x10 eye-piece; varying size measurements are reported: 26-35 x 15-19 µm; 22-36 x 13-21 µm. This variability may result from the fact that urediniospores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larger than those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(Shain, 1988). Teliospores 10-15 x 29-45 µm, with wall evenly thick; however, their diagnostic value is too uncertain to be of use.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Diagnostic Protocol PM 7/93 (under revision), Kraayenoord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Ziller (1974), Shain (1988),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DNA-based identification and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difficulties (i) to detect small amounts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when mixed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and (ii) to distinguish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at the aecial stage prompted the development of several molecular identification and detection methods.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developed a series of PCR primers targeting the ITS (Internal Transcribed Spacer) region of the rDNA to detect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 M. laricis-populina,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allii-populina</w:t>
      </w:r>
      <w:r>
        <w:rPr>
          <w:rFonts w:ascii="Calibri" w:hAnsi="Calibri" w:eastAsia="Calibri" w:cs="Calibri"/>
          <w:color w:val="000000"/>
          <w:sz w:val="22"/>
          <w:szCs w:val="22"/>
        </w:rPr>
        <w:t xml:space="preserve">. This method is species-specific, highly sensitive, and detects also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However the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-specific primers cross-react with two species infecting aspens, </w:t>
      </w:r>
      <w:r>
        <w:rPr>
          <w:rFonts w:ascii="Calibri" w:hAnsi="Calibri" w:eastAsia="Calibri" w:cs="Calibri"/>
          <w:i/>
          <w:iCs/>
          <w:color w:val="000000"/>
          <w:sz w:val="22"/>
          <w:szCs w:val="22"/>
        </w:rPr>
        <w:t xml:space="preserve">M. laricis-tremulae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pinitorqua</w:t>
      </w:r>
      <w:r>
        <w:rPr>
          <w:rFonts w:ascii="Calibri" w:hAnsi="Calibri" w:eastAsia="Calibri" w:cs="Calibri"/>
          <w:color w:val="000000"/>
          <w:sz w:val="22"/>
          <w:szCs w:val="22"/>
        </w:rPr>
        <w:t xml:space="preser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developed a real-time PCR method also targeting the ITS region, which is highly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and highly sensitive.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also developed a second real-time PCR method targeting the large ribosomal RNA subunit (28S), which is highly specific for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and does not cross-react with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nor with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In addition, two real-time PCR tests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were developed through whole-genome comparison (Bergeron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a high potential for natural spread. Urediniospores of the pathogen can be spread by wind over long distances. Many examples of aerial long-distance dispersal of rust spores across and even between continents have been documented (Brown &amp; Hovmoller, 2002). For instance, Nagarajan &amp; Singh (1990) stated that urediniospores of rust fungi, once they reach an altitude of 1.5-2.0 km, can spread a disease transatlantically and quoted the spread of coffee leaf rust, </w:t>
      </w:r>
      <w:r>
        <w:rPr>
          <w:rFonts w:ascii="Calibri" w:hAnsi="Calibri" w:eastAsia="Calibri" w:cs="Calibri"/>
          <w:i/>
          <w:iCs/>
          <w:color w:val="000000"/>
          <w:sz w:val="22"/>
          <w:szCs w:val="22"/>
        </w:rPr>
        <w:t xml:space="preserve">Hemileia vastatrix</w:t>
      </w:r>
      <w:r>
        <w:rPr>
          <w:rFonts w:ascii="Calibri" w:hAnsi="Calibri" w:eastAsia="Calibri" w:cs="Calibri"/>
          <w:color w:val="000000"/>
          <w:sz w:val="22"/>
          <w:szCs w:val="22"/>
        </w:rPr>
        <w:t xml:space="preserve">, from Angola to Brazil in 1966 as an example of this wind-borne transatlantic spread of rust fungi. Similarly, the dispersal pathway of the emerging Ug99 lineage of the wheat stem rust fungus </w:t>
      </w:r>
      <w:r>
        <w:rPr>
          <w:rFonts w:ascii="Calibri" w:hAnsi="Calibri" w:eastAsia="Calibri" w:cs="Calibri"/>
          <w:i/>
          <w:iCs/>
          <w:color w:val="000000"/>
          <w:sz w:val="22"/>
          <w:szCs w:val="22"/>
        </w:rPr>
        <w:t xml:space="preserve">Puccinia graminis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tritici</w:t>
      </w:r>
      <w:r>
        <w:rPr>
          <w:rFonts w:ascii="Calibri" w:hAnsi="Calibri" w:eastAsia="Calibri" w:cs="Calibri"/>
          <w:color w:val="000000"/>
          <w:sz w:val="22"/>
          <w:szCs w:val="22"/>
        </w:rPr>
        <w:t xml:space="preserve"> from East Africa to Central Asia was modeled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airborne spread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been reported regarding the introduction of the fungus into New Zealand in 1973. From Australia, where the pathogen had been first recorded in 1972, the fungus spread 2000 km by wind to the islands of New Zealand where it was detected in March 1973 (Wilkinson &amp; Spiers, 1976). High correlations were calculated between the wind patterns in this area and the infected sites in Australia and the newly detected infestation sites in New Zealand (Brown,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pathogen can also be spread on infected planting material of the various hosts, including on cuttings. In addition, it could also be theoretically spread on cut branches, although it is not known if such international trade exists.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damage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results from premature leaf drop and loss of vigour in young susceptible poplars. In New South Wales, Australia, the disease spread over 1200 ha in 6 weeks (Walker &amp; Hartigan, 1972). The disease was very damaging in both Australia and New Zealand in the 1970s, where poplar has been introduced into a new environment. However, in eastern Canada where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native, extensive damage has also been reported on poplars in nurseries and plantations as well as in natural forests.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has been reported in southwestern France at sporadic intervals for more than 50 years but is rare and of no economic significance (Pinon &amp; Frey, 2005;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may be due to environmental factors which seem to limit its spread, probably because of overwintering problems, host alternation and/or ecological constraints (Pinon, 1986). It should be recalled that the other European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cause very similar symptoms and damage in European poplar plantations, and have been, up till now, of much greater significance (Pinon &amp; Frey,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rapidly in Australia and New Zealand and this emphasizes the potential threat to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The susceptibility and uniformity of the poplar stands encountered may facilitate spread.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resistant poplar cultivars are available and can be indirectly selected for resistance by the number and rate of closure of the stomata (Siwecky, 1974). Prakesh &amp; Heather (1989) reported on the partial resistance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against two races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but also stressed the need to maintain a wide host diversity to manage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very damaging in part of its range, and susceptible poplars (e.g.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important tree species in the EPPO region, both for wood production and for ecosystems services. The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currently present in Europe do not seem aggressive and have had no tendency to spread over many decades; as such, they present little risk to other European countries. However, there is a risk that one of the known aggressive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may be introduced into the EPPO region, which could then cause serious losses, particularly in areas with a mild winter where no alternate host is required. Moreover,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been shown to be able to hybridize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thus leading to the emergence of new fungal pathogen taxa and novel host‐pathogen associations.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has only been recorded on the American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 species which is only occasionally used as an ornamental in the EPPO region and is therefore a lower risk than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plants for planting of conifers,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with leaves, is prohibited in many EPPO countries (e.g. the EU,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To limit the risk of introduction of the rust via infected plant material, plants for planting (other than seeds) and cut branches (including Christmas trees)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should have been grown in a pest free area for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or in a place of production which has been confirmed free from the rust during the preceding growing period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EPPO Standard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may be noted that the EU has recently revised the quarantine status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now only regulates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as a quarantine pest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Bergeron M-J, Feau N, Stewart D, Tanguay P, Hamelin RC (2019) Genome-enhanced detection and identification of fungal pathogens responsible for pine and poplar rust diseases.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e0210952. </w:t>
      </w:r>
    </w:p>
    <w:p>
      <w:pPr>
        <w:widowControl w:val="on"/>
        <w:pBdr/>
        <w:spacing w:before="220" w:after="220" w:line="240" w:lineRule="auto"/>
        <w:ind w:left="0" w:right="0"/>
        <w:jc w:val="left"/>
      </w:pPr>
      <w:r>
        <w:rPr>
          <w:rFonts w:ascii="Calibri" w:hAnsi="Calibri" w:eastAsia="Calibri" w:cs="Calibri"/>
          <w:color w:val="000000"/>
          <w:sz w:val="22"/>
          <w:szCs w:val="22"/>
        </w:rPr>
        <w:t xml:space="preserve">Bourassa M, Bernier L, Hamelin RC (2007) Genetic diversity in poplar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in the zones of host sympatry and allopatry.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603-610.</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 Frey P, Ioos R (2013a) A sensitive real-time PCR assay for the detection of the two </w:t>
      </w:r>
      <w:r>
        <w:rPr>
          <w:rFonts w:ascii="Calibri" w:hAnsi="Calibri" w:eastAsia="Calibri" w:cs="Calibri"/>
          <w:i/>
          <w:iCs/>
          <w:color w:val="000000"/>
          <w:sz w:val="22"/>
          <w:szCs w:val="22"/>
        </w:rPr>
        <w:t xml:space="preserve">Melampsora medusae formae speciales</w:t>
      </w:r>
      <w:r>
        <w:rPr>
          <w:rFonts w:ascii="Calibri" w:hAnsi="Calibri" w:eastAsia="Calibri" w:cs="Calibri"/>
          <w:color w:val="000000"/>
          <w:sz w:val="22"/>
          <w:szCs w:val="22"/>
        </w:rPr>
        <w:t xml:space="preserve"> on infected poplar leaves.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433-441. </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RC, Andrieux A, Frey P, Husson C, Ioos R (2013b) Optimization of a real-time PCR assay for the detection of the quarantine pathogen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389-398.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JS (1984) Recent invasions of Australia and New Zealand by pathogenic fungi and counter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417-428.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JKM, Hovmoller MS (2002) Aerial dispersal of pathogens on the global and continental scales and its impact on plant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Desprez-Loustau M-L, Robin C, Reynaud G, Déqué M, Badeau V, Piou D, Husson C, Marçais B (2007) Simulating the effects of a climate-change scenario on the geographical range and activity of forest-pathogenic fungi.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101-120. </w:t>
      </w:r>
    </w:p>
    <w:p>
      <w:pPr>
        <w:widowControl w:val="on"/>
        <w:pBdr/>
        <w:spacing w:before="220" w:after="220" w:line="240" w:lineRule="auto"/>
        <w:ind w:left="0" w:right="0"/>
        <w:jc w:val="left"/>
      </w:pPr>
      <w:r>
        <w:rPr>
          <w:rFonts w:ascii="Calibri" w:hAnsi="Calibri" w:eastAsia="Calibri" w:cs="Calibri"/>
          <w:color w:val="000000"/>
          <w:sz w:val="22"/>
          <w:szCs w:val="22"/>
        </w:rPr>
        <w:t xml:space="preserve">Dupias G (1965) Les rouilles des peupliers dans les Pyrénées et le bassin sous-pyrénéen. </w:t>
      </w:r>
      <w:r>
        <w:rPr>
          <w:rFonts w:ascii="Calibri" w:hAnsi="Calibri" w:eastAsia="Calibri" w:cs="Calibri"/>
          <w:i/>
          <w:iCs/>
          <w:color w:val="000000"/>
          <w:sz w:val="22"/>
          <w:szCs w:val="22"/>
        </w:rPr>
        <w:t xml:space="preserve">Bulletin de la Société Mycologique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7/93 Diagnostic protocol for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(under revision).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824966854323c7db2" w:history="1">
        <w:r>
          <w:rPr>
            <w:rFonts w:ascii="Calibri" w:hAnsi="Calibri" w:eastAsia="Calibri" w:cs="Calibri"/>
            <w:color w:val="0000CC"/>
            <w:sz w:val="22"/>
            <w:szCs w:val="22"/>
            <w:u w:val="single"/>
          </w:rPr>
          <w:t xml:space="preserve">https://gd.eppo.int/taxon/MELMME/documents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8/2 Commodity-speciﬁc phytosanitary measures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Available at </w:t>
      </w:r>
      <w:hyperlink r:id="rId683866854323c7e18"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8/7 Commodity-speciﬁc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Available at </w:t>
      </w:r>
      <w:hyperlink r:id="rId138466854323c7e6a"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759866854323c7e9f"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Fragoso RG (1925) Flora Iberica. II. Uredinales. Museo Nacional de Ciencias Naturales, Madrid, pp. 198–199.</w:t>
      </w:r>
    </w:p>
    <w:p>
      <w:pPr>
        <w:widowControl w:val="on"/>
        <w:pBdr/>
        <w:spacing w:before="220" w:after="220" w:line="240" w:lineRule="auto"/>
        <w:ind w:left="0" w:right="0"/>
        <w:jc w:val="left"/>
      </w:pPr>
      <w:r>
        <w:rPr>
          <w:rFonts w:ascii="Calibri" w:hAnsi="Calibri" w:eastAsia="Calibri" w:cs="Calibri"/>
          <w:color w:val="000000"/>
          <w:sz w:val="22"/>
          <w:szCs w:val="22"/>
        </w:rPr>
        <w:t xml:space="preserve">Frey P, Gérard P, Feau N, Husson C, Pinon J (2005) Variability and population biology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poplars,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63-72.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w:t>
      </w:r>
      <w:r>
        <w:rPr>
          <w:rFonts w:ascii="Calibri" w:hAnsi="Calibri" w:eastAsia="Calibri" w:cs="Calibri"/>
          <w:color w:val="000000"/>
          <w:sz w:val="22"/>
          <w:szCs w:val="22"/>
        </w:rPr>
        <w:t xml:space="preserve"> No. 386, pp. 209, 212, 299, 382, 387. Forest Service, US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(1939) Miscellaneous notes on the East Asiatic Uredinales with special reference to the Japanese species (VI). </w:t>
      </w:r>
      <w:r>
        <w:rPr>
          <w:rFonts w:ascii="Calibri" w:hAnsi="Calibri" w:eastAsia="Calibri" w:cs="Calibri"/>
          <w:i/>
          <w:iCs/>
          <w:color w:val="000000"/>
          <w:sz w:val="22"/>
          <w:szCs w:val="22"/>
        </w:rPr>
        <w:t xml:space="preserve">Journal of Japanese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621-627.</w:t>
      </w:r>
    </w:p>
    <w:p>
      <w:pPr>
        <w:widowControl w:val="on"/>
        <w:pBdr/>
        <w:spacing w:before="220" w:after="220" w:line="240" w:lineRule="auto"/>
        <w:ind w:left="0" w:right="0"/>
        <w:jc w:val="left"/>
      </w:pPr>
      <w:r>
        <w:rPr>
          <w:rFonts w:ascii="Calibri" w:hAnsi="Calibri" w:eastAsia="Calibri" w:cs="Calibri"/>
          <w:color w:val="000000"/>
          <w:sz w:val="22"/>
          <w:szCs w:val="22"/>
        </w:rPr>
        <w:t xml:space="preserve">Husson C, Ioos R, Andrieux A, Frey P (2013) Development and use of new sensitive molecular tools for diagnosis and detection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cultivated poplar.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Grégoire JC, Jaques Miret JA, Macleod A, Navajas Navarro M, Niere B, Parnell S, Potting R, Rafoss T, Rossi V, Urek G, Van Bruggen A, Van Der Werf W, West J, Winter S, Boberg J, Gonthier P, Pautasso M (2018) Pest categorisation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5354. 28 pp. </w:t>
      </w:r>
      <w:hyperlink r:id="rId958166854323c80f3" w:history="1">
        <w:r>
          <w:rPr>
            <w:rFonts w:ascii="Calibri" w:hAnsi="Calibri" w:eastAsia="Calibri" w:cs="Calibri"/>
            <w:color w:val="0000CC"/>
            <w:sz w:val="22"/>
            <w:szCs w:val="22"/>
            <w:u w:val="single"/>
          </w:rPr>
          <w:t xml:space="preserve">https://doi.org/10.2903/j.efsa.2018.5354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Kraayenoord CWS van, Laudon GF, Spies AG (1974) Poplar rusts invade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McBride RP (1965) A microbiological control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711-715.</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 (1972) Poplar leaf rust hazard.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 Cox JA, Hitchings MDT, Burgin L, Hort MC, Hodson DP, Gilligan CA (2017) Quantifying airborne dispersal routes of pathogens over continents to safeguard global wheat supply.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780-786.</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AC, Sivak B (1964)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infection of pine in British Columbia.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Nagarajan, S.; Singh, D.V. (1990) Long-distance dispersion of rust pathogens. </w:t>
      </w:r>
      <w:r>
        <w:rPr>
          <w:rFonts w:ascii="Calibri" w:hAnsi="Calibri" w:eastAsia="Calibri" w:cs="Calibri"/>
          <w:i/>
          <w:iCs/>
          <w:color w:val="000000"/>
          <w:sz w:val="22"/>
          <w:szCs w:val="22"/>
        </w:rPr>
        <w:t xml:space="preserve">Annual Review of Plant Pathology</w:t>
      </w:r>
      <w:r>
        <w:rPr>
          <w:rFonts w:ascii="Calibri" w:hAnsi="Calibri" w:eastAsia="Calibri" w:cs="Calibri"/>
          <w:color w:val="000000"/>
          <w:sz w:val="22"/>
          <w:szCs w:val="22"/>
        </w:rPr>
        <w:t xml:space="preserve"> 28, 139-153.</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Bradshaw HD (2001) Abundant pathogenic variation in the new hybrid rust</w:t>
      </w:r>
      <w:r>
        <w:rPr>
          <w:rFonts w:ascii="Calibri" w:hAnsi="Calibri" w:eastAsia="Calibri" w:cs="Calibri"/>
          <w:i/>
          <w:iCs/>
          <w:color w:val="000000"/>
          <w:sz w:val="22"/>
          <w:szCs w:val="22"/>
        </w:rPr>
        <w:t xml:space="preserve"> Melampsora x columbiana</w:t>
      </w:r>
      <w:r>
        <w:rPr>
          <w:rFonts w:ascii="Calibri" w:hAnsi="Calibri" w:eastAsia="Calibri" w:cs="Calibri"/>
          <w:color w:val="000000"/>
          <w:sz w:val="22"/>
          <w:szCs w:val="22"/>
        </w:rPr>
        <w:t xml:space="preserve"> on hybrid poplar.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981-985. </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McDonald S, Bradshaw HD (2000) </w:t>
      </w:r>
      <w:r>
        <w:rPr>
          <w:rFonts w:ascii="Calibri" w:hAnsi="Calibri" w:eastAsia="Calibri" w:cs="Calibri"/>
          <w:i/>
          <w:iCs/>
          <w:color w:val="000000"/>
          <w:sz w:val="22"/>
          <w:szCs w:val="22"/>
        </w:rPr>
        <w:t xml:space="preserve">Melampsora x columbiana</w:t>
      </w:r>
      <w:r>
        <w:rPr>
          <w:rFonts w:ascii="Calibri" w:hAnsi="Calibri" w:eastAsia="Calibri" w:cs="Calibri"/>
          <w:color w:val="000000"/>
          <w:sz w:val="22"/>
          <w:szCs w:val="22"/>
        </w:rPr>
        <w:t xml:space="preserve">, a natural hybrid of</w:t>
      </w:r>
      <w:r>
        <w:rPr>
          <w:rFonts w:ascii="Calibri" w:hAnsi="Calibri" w:eastAsia="Calibri" w:cs="Calibri"/>
          <w:i/>
          <w:iCs/>
          <w:color w:val="000000"/>
          <w:sz w:val="22"/>
          <w:szCs w:val="22"/>
        </w:rPr>
        <w:t xml:space="preserve"> M. medusae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261-274. </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de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547-551.</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Frey P (2005) Interactions between poplar clones and Melampsora populations and their implications for breeding for durable resistance,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139-154.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(1985) Adaption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increasing temperature and light intensities on a clone of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834-841.</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(1989) Inheritance of partial resistance to two races of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eastern cottonwood,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90-94.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(1987) Pathogenic variation in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leaf rust of poplars.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563-570.</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(1989) Interaction of geographic isolates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effect of temperature.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486-490.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Associates.</w:t>
      </w:r>
    </w:p>
    <w:p>
      <w:pPr>
        <w:widowControl w:val="on"/>
        <w:pBdr/>
        <w:spacing w:before="220" w:after="220" w:line="240" w:lineRule="auto"/>
        <w:ind w:left="0" w:right="0"/>
        <w:jc w:val="left"/>
      </w:pPr>
      <w:r>
        <w:rPr>
          <w:rFonts w:ascii="Calibri" w:hAnsi="Calibri" w:eastAsia="Calibri" w:cs="Calibri"/>
          <w:color w:val="000000"/>
          <w:sz w:val="22"/>
          <w:szCs w:val="22"/>
        </w:rPr>
        <w:t xml:space="preserve">Schipper AL, Dawson DH (1974) Poplar leaf rust - a problem in maximum wood production.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721-723.</w:t>
      </w:r>
    </w:p>
    <w:p>
      <w:pPr>
        <w:widowControl w:val="on"/>
        <w:pBdr/>
        <w:spacing w:before="220" w:after="220" w:line="240" w:lineRule="auto"/>
        <w:ind w:left="0" w:right="0"/>
        <w:jc w:val="left"/>
      </w:pPr>
      <w:r>
        <w:rPr>
          <w:rFonts w:ascii="Calibri" w:hAnsi="Calibri" w:eastAsia="Calibri" w:cs="Calibri"/>
          <w:color w:val="000000"/>
          <w:sz w:val="22"/>
          <w:szCs w:val="22"/>
        </w:rPr>
        <w:t xml:space="preserve">Shain L (1988) Evidence for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in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(1976) Physiologic specialization in poplar leaf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Thum. and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Kleb. in Australia</w:t>
      </w:r>
      <w:r>
        <w:rPr>
          <w:rFonts w:ascii="Calibri" w:hAnsi="Calibri" w:eastAsia="Calibri" w:cs="Calibri"/>
          <w:i/>
          <w:iCs/>
          <w:color w:val="000000"/>
          <w:sz w:val="22"/>
          <w:szCs w:val="22"/>
        </w:rPr>
        <w:t xml:space="preserve">. Proc. XIX Session FAO/IPC Working Party on Poplar Diseases. France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(1977) Infection of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hickeliana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119-124.</w:t>
      </w:r>
    </w:p>
    <w:p>
      <w:pPr>
        <w:widowControl w:val="on"/>
        <w:pBdr/>
        <w:spacing w:before="220" w:after="220" w:line="240" w:lineRule="auto"/>
        <w:ind w:left="0" w:right="0"/>
        <w:jc w:val="left"/>
      </w:pPr>
      <w:r>
        <w:rPr>
          <w:rFonts w:ascii="Calibri" w:hAnsi="Calibri" w:eastAsia="Calibri" w:cs="Calibri"/>
          <w:color w:val="000000"/>
          <w:sz w:val="22"/>
          <w:szCs w:val="22"/>
        </w:rPr>
        <w:t xml:space="preserve">Siwecky R. (1974) The mechanism of poplar leaf resistance to fungal infection. </w:t>
      </w:r>
      <w:r>
        <w:rPr>
          <w:rFonts w:ascii="Calibri" w:hAnsi="Calibri" w:eastAsia="Calibri" w:cs="Calibri"/>
          <w:i/>
          <w:iCs/>
          <w:color w:val="000000"/>
          <w:sz w:val="22"/>
          <w:szCs w:val="22"/>
        </w:rPr>
        <w:t xml:space="preserve">Polish Academy of Sciences, Annual Report, 1973</w:t>
      </w:r>
      <w:r>
        <w:rPr>
          <w:rFonts w:ascii="Calibri" w:hAnsi="Calibri" w:eastAsia="Calibri" w:cs="Calibri"/>
          <w:color w:val="000000"/>
          <w:sz w:val="22"/>
          <w:szCs w:val="22"/>
        </w:rPr>
        <w:t xml:space="preserve">, 32 pp.</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(1975) Species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infecting conifers in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486-488.</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(1994). Comparative studies of the poplar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and their interspecific hybrid </w:t>
      </w:r>
      <w:r>
        <w:rPr>
          <w:rFonts w:ascii="Calibri" w:hAnsi="Calibri" w:eastAsia="Calibri" w:cs="Calibri"/>
          <w:i/>
          <w:iCs/>
          <w:color w:val="000000"/>
          <w:sz w:val="22"/>
          <w:szCs w:val="22"/>
        </w:rPr>
        <w:t xml:space="preserve">M. medusae-populina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889-903. </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(1985) Ultrastructural studies of pathogenesis and uredinial development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poplar and </w:t>
      </w:r>
      <w:r>
        <w:rPr>
          <w:rFonts w:ascii="Calibri" w:hAnsi="Calibri" w:eastAsia="Calibri" w:cs="Calibri"/>
          <w:i/>
          <w:iCs/>
          <w:color w:val="000000"/>
          <w:sz w:val="22"/>
          <w:szCs w:val="22"/>
        </w:rPr>
        <w:t xml:space="preserve">M. coleosporioides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epitea</w:t>
      </w:r>
      <w:r>
        <w:rPr>
          <w:rFonts w:ascii="Calibri" w:hAnsi="Calibri" w:eastAsia="Calibri" w:cs="Calibri"/>
          <w:color w:val="000000"/>
          <w:sz w:val="22"/>
          <w:szCs w:val="22"/>
        </w:rPr>
        <w:t xml:space="preserve"> on willow.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117-133.</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(1988) Penetration and infection of poplar leaves by urediniospores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Trench TN, Baxter AP, Churchill H (1987) Report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in Southern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Kraayenoord CWS (1984) National report on activities related to poplar and willow cultivation. International Poplar Commission, XVIIth session,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Feau N, Frey P, Bernier L, Hamelin RC (2013) Phylogenetic species recognition reveals host-specific lineages among poplar rust fungi.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628-644. </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Frey P, Hambleton S, Bernier L, Hamelin R (2011) Poplar rust systematics and refinement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delineation.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(1975)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480.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Bertus AL (1974) Poplar rusts in Australia with comments on potential conifer rusts.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100-118.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(1972) Poplar rust in Australia.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1, 3.</w:t>
      </w:r>
    </w:p>
    <w:p>
      <w:pPr>
        <w:widowControl w:val="on"/>
        <w:pBdr/>
        <w:spacing w:before="220" w:after="220" w:line="240" w:lineRule="auto"/>
        <w:ind w:left="0" w:right="0"/>
        <w:jc w:val="left"/>
      </w:pPr>
      <w:r>
        <w:rPr>
          <w:rFonts w:ascii="Calibri" w:hAnsi="Calibri" w:eastAsia="Calibri" w:cs="Calibri"/>
          <w:color w:val="000000"/>
          <w:sz w:val="22"/>
          <w:szCs w:val="22"/>
        </w:rPr>
        <w:t xml:space="preserve">Wilkinson AG, Spiers AG (1976) Introduction of poplar rusts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New-Zealand and their subsequent distribution. </w:t>
      </w:r>
      <w:r>
        <w:rPr>
          <w:rFonts w:ascii="Calibri" w:hAnsi="Calibri" w:eastAsia="Calibri" w:cs="Calibri"/>
          <w:i/>
          <w:iCs/>
          <w:color w:val="000000"/>
          <w:sz w:val="22"/>
          <w:szCs w:val="22"/>
        </w:rPr>
        <w:t xml:space="preserve">New Zealand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195-198.</w:t>
      </w:r>
    </w:p>
    <w:p>
      <w:pPr>
        <w:widowControl w:val="on"/>
        <w:pBdr/>
        <w:spacing w:before="220" w:after="220" w:line="240" w:lineRule="auto"/>
        <w:ind w:left="0" w:right="0"/>
        <w:jc w:val="left"/>
      </w:pPr>
      <w:r>
        <w:rPr>
          <w:rFonts w:ascii="Calibri" w:hAnsi="Calibri" w:eastAsia="Calibri" w:cs="Calibri"/>
          <w:color w:val="000000"/>
          <w:sz w:val="22"/>
          <w:szCs w:val="22"/>
        </w:rPr>
        <w:t xml:space="preserve">Zheng W, Newcombe G, Hu D, Cao Z, Yu Z &amp; Peng Z (2019) The first record of a North American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182. </w:t>
      </w:r>
      <w:hyperlink r:id="rId181566854323c9128" w:history="1">
        <w:r>
          <w:rPr>
            <w:rFonts w:ascii="Calibri" w:hAnsi="Calibri" w:eastAsia="Calibri" w:cs="Calibri"/>
            <w:color w:val="0000CC"/>
            <w:sz w:val="22"/>
            <w:szCs w:val="22"/>
            <w:u w:val="single"/>
          </w:rPr>
          <w:t xml:space="preserve">https://doi.org/10.3390/f10020182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(1955) Studies of western tree rusts. II. </w:t>
      </w:r>
      <w:r>
        <w:rPr>
          <w:rFonts w:ascii="Calibri" w:hAnsi="Calibri" w:eastAsia="Calibri" w:cs="Calibri"/>
          <w:i/>
          <w:iCs/>
          <w:color w:val="000000"/>
          <w:sz w:val="22"/>
          <w:szCs w:val="22"/>
        </w:rPr>
        <w:t xml:space="preserve">Melampsora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two needle rusts of Douglas-fir.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(1965) Studies of western tree rusts. VI. The aecial host ranges of </w:t>
      </w:r>
      <w:r>
        <w:rPr>
          <w:rFonts w:ascii="Calibri" w:hAnsi="Calibri" w:eastAsia="Calibri" w:cs="Calibri"/>
          <w:i/>
          <w:iCs/>
          <w:color w:val="000000"/>
          <w:sz w:val="22"/>
          <w:szCs w:val="22"/>
        </w:rPr>
        <w:t xml:space="preserve">Melampsora albertensis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Service, British Columbia, Canada, Publications</w:t>
      </w:r>
      <w:r>
        <w:rPr>
          <w:rFonts w:ascii="Calibri" w:hAnsi="Calibri" w:eastAsia="Calibri" w:cs="Calibri"/>
          <w:color w:val="000000"/>
          <w:sz w:val="22"/>
          <w:szCs w:val="22"/>
        </w:rPr>
        <w:t xml:space="preserve"> No. 1329, pp. 144-147. Forest Service, British Columbia,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Pascal Frey (INRAE, Nancy, France). His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EPPO datasheets on pests recommended for regulation. Available online. </w:t>
      </w:r>
      <w:hyperlink r:id="rId960866854323c938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Melampsora medusae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81-86.</w:t>
      </w:r>
    </w:p>
    <w:p>
      <w:r>
        <w:drawing>
          <wp:inline distT="0" distB="0" distL="0" distR="0">
            <wp:extent cx="1800000" cy="604800"/>
            <wp:docPr id="68644082" name="name533066854323c972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57066854323c972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457447">
    <w:multiLevelType w:val="hybridMultilevel"/>
    <w:lvl w:ilvl="0" w:tplc="57867727">
      <w:start w:val="1"/>
      <w:numFmt w:val="decimal"/>
      <w:lvlText w:val="%1."/>
      <w:lvlJc w:val="left"/>
      <w:pPr>
        <w:ind w:left="720" w:hanging="360"/>
      </w:pPr>
    </w:lvl>
    <w:lvl w:ilvl="1" w:tplc="57867727" w:tentative="1">
      <w:start w:val="1"/>
      <w:numFmt w:val="lowerLetter"/>
      <w:lvlText w:val="%2."/>
      <w:lvlJc w:val="left"/>
      <w:pPr>
        <w:ind w:left="1440" w:hanging="360"/>
      </w:pPr>
    </w:lvl>
    <w:lvl w:ilvl="2" w:tplc="57867727" w:tentative="1">
      <w:start w:val="1"/>
      <w:numFmt w:val="lowerRoman"/>
      <w:lvlText w:val="%3."/>
      <w:lvlJc w:val="right"/>
      <w:pPr>
        <w:ind w:left="2160" w:hanging="180"/>
      </w:pPr>
    </w:lvl>
    <w:lvl w:ilvl="3" w:tplc="57867727" w:tentative="1">
      <w:start w:val="1"/>
      <w:numFmt w:val="decimal"/>
      <w:lvlText w:val="%4."/>
      <w:lvlJc w:val="left"/>
      <w:pPr>
        <w:ind w:left="2880" w:hanging="360"/>
      </w:pPr>
    </w:lvl>
    <w:lvl w:ilvl="4" w:tplc="57867727" w:tentative="1">
      <w:start w:val="1"/>
      <w:numFmt w:val="lowerLetter"/>
      <w:lvlText w:val="%5."/>
      <w:lvlJc w:val="left"/>
      <w:pPr>
        <w:ind w:left="3600" w:hanging="360"/>
      </w:pPr>
    </w:lvl>
    <w:lvl w:ilvl="5" w:tplc="57867727" w:tentative="1">
      <w:start w:val="1"/>
      <w:numFmt w:val="lowerRoman"/>
      <w:lvlText w:val="%6."/>
      <w:lvlJc w:val="right"/>
      <w:pPr>
        <w:ind w:left="4320" w:hanging="180"/>
      </w:pPr>
    </w:lvl>
    <w:lvl w:ilvl="6" w:tplc="57867727" w:tentative="1">
      <w:start w:val="1"/>
      <w:numFmt w:val="decimal"/>
      <w:lvlText w:val="%7."/>
      <w:lvlJc w:val="left"/>
      <w:pPr>
        <w:ind w:left="5040" w:hanging="360"/>
      </w:pPr>
    </w:lvl>
    <w:lvl w:ilvl="7" w:tplc="57867727" w:tentative="1">
      <w:start w:val="1"/>
      <w:numFmt w:val="lowerLetter"/>
      <w:lvlText w:val="%8."/>
      <w:lvlJc w:val="left"/>
      <w:pPr>
        <w:ind w:left="5760" w:hanging="360"/>
      </w:pPr>
    </w:lvl>
    <w:lvl w:ilvl="8" w:tplc="57867727" w:tentative="1">
      <w:start w:val="1"/>
      <w:numFmt w:val="lowerRoman"/>
      <w:lvlText w:val="%9."/>
      <w:lvlJc w:val="right"/>
      <w:pPr>
        <w:ind w:left="6480" w:hanging="180"/>
      </w:pPr>
    </w:lvl>
  </w:abstractNum>
  <w:abstractNum w:abstractNumId="14457446">
    <w:multiLevelType w:val="hybridMultilevel"/>
    <w:lvl w:ilvl="0" w:tplc="709026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457446">
    <w:abstractNumId w:val="14457446"/>
  </w:num>
  <w:num w:numId="14457447">
    <w:abstractNumId w:val="144574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7773825" Type="http://schemas.microsoft.com/office/2011/relationships/commentsExtended" Target="commentsExtended.xml"/><Relationship Id="rId715287139" Type="http://schemas.microsoft.com/office/2011/relationships/people" Target="people.xml"/><Relationship Id="rId484366854323c2549" Type="http://schemas.openxmlformats.org/officeDocument/2006/relationships/hyperlink" Target="https://gd.eppo.int/taxon/MELMME/" TargetMode="External"/><Relationship Id="rId641266854323c258e" Type="http://schemas.openxmlformats.org/officeDocument/2006/relationships/hyperlink" Target="https://gd.eppo.int/taxon/MELMME/categorization" TargetMode="External"/><Relationship Id="rId279666854323c2f5a" Type="http://schemas.openxmlformats.org/officeDocument/2006/relationships/hyperlink" Target="https://gd.eppo.int/taxon/MELMME/photos" TargetMode="External"/><Relationship Id="rId824966854323c7db2" Type="http://schemas.openxmlformats.org/officeDocument/2006/relationships/hyperlink" Target="https://gd.eppo.int/taxon/MELMME/documents" TargetMode="External"/><Relationship Id="rId683866854323c7e18" Type="http://schemas.openxmlformats.org/officeDocument/2006/relationships/hyperlink" Target="https://gd.eppo.int/standards/PM8/" TargetMode="External"/><Relationship Id="rId138466854323c7e6a" Type="http://schemas.openxmlformats.org/officeDocument/2006/relationships/hyperlink" Target="https://gd.eppo.int/standards/PM8/" TargetMode="External"/><Relationship Id="rId759866854323c7e9f" Type="http://schemas.openxmlformats.org/officeDocument/2006/relationships/hyperlink" Target="http://data.europa.eu/eli/reg_impl/2019/2072/oj" TargetMode="External"/><Relationship Id="rId958166854323c80f3" Type="http://schemas.openxmlformats.org/officeDocument/2006/relationships/hyperlink" Target="https://doi.org/10.2903/j.efsa.2018.5354" TargetMode="External"/><Relationship Id="rId181566854323c9128" Type="http://schemas.openxmlformats.org/officeDocument/2006/relationships/hyperlink" Target="https://doi.org/10.3390/f10020182" TargetMode="External"/><Relationship Id="rId960866854323c938e" Type="http://schemas.openxmlformats.org/officeDocument/2006/relationships/hyperlink" Target="https://gd.eppo.int" TargetMode="External"/><Relationship Id="rId907966854323c2e27" Type="http://schemas.openxmlformats.org/officeDocument/2006/relationships/image" Target="media/imgrId907966854323c2e27.jpg"/><Relationship Id="rId526566854323c60be" Type="http://schemas.openxmlformats.org/officeDocument/2006/relationships/image" Target="media/imgrId526566854323c60be.jpg"/><Relationship Id="rId357066854323c9727" Type="http://schemas.openxmlformats.org/officeDocument/2006/relationships/image" Target="media/imgrId357066854323c972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