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maculosus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maculosus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Haldeman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mutator</w:t>
            </w:r>
            <w:r>
              <w:rPr>
                <w:rFonts w:ascii="Calibri" w:hAnsi="Calibri" w:eastAsia="Calibri" w:cs="Calibri"/>
                <w:color w:val="000000"/>
                <w:position w:val="-3"/>
                <w:sz w:val="22"/>
                <w:szCs w:val="22"/>
              </w:rPr>
              <w:t xml:space="preserve"> Leconte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spotted pine sawyer</w:t>
            </w:r>
            <w:hyperlink r:id="rId3897669ec035c38e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2631669ec035c392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MONCMC</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Monochamus mutator </w:t>
      </w:r>
      <w:r>
        <w:rPr>
          <w:rFonts w:ascii="Calibri" w:hAnsi="Calibri" w:eastAsia="Calibri" w:cs="Calibri"/>
          <w:color w:val="000000"/>
          <w:sz w:val="22"/>
          <w:szCs w:val="22"/>
        </w:rPr>
        <w:t xml:space="preserve">LeConte, 1850 has also been widely used for this species throughout the literature.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maculosus </w:t>
      </w:r>
      <w:r>
        <w:rPr>
          <w:rFonts w:ascii="Calibri" w:hAnsi="Calibri" w:eastAsia="Calibri" w:cs="Calibri"/>
          <w:color w:val="000000"/>
          <w:sz w:val="22"/>
          <w:szCs w:val="22"/>
        </w:rPr>
        <w:t xml:space="preserve">has been recorded from two species of pines that are native to North America, </w:t>
      </w:r>
      <w:r>
        <w:rPr>
          <w:rFonts w:ascii="Calibri" w:hAnsi="Calibri" w:eastAsia="Calibri" w:cs="Calibri"/>
          <w:i/>
          <w:iCs/>
          <w:color w:val="000000"/>
          <w:sz w:val="22"/>
          <w:szCs w:val="22"/>
        </w:rPr>
        <w:t xml:space="preserve">P. banksiana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resinosa, </w:t>
      </w:r>
      <w:r>
        <w:rPr>
          <w:rFonts w:ascii="Calibri" w:hAnsi="Calibri" w:eastAsia="Calibri" w:cs="Calibri"/>
          <w:color w:val="000000"/>
          <w:sz w:val="22"/>
          <w:szCs w:val="22"/>
        </w:rPr>
        <w:t xml:space="preserve">neither species are important forest trees in Europe and </w:t>
      </w:r>
      <w:r>
        <w:rPr>
          <w:rFonts w:ascii="Calibri" w:hAnsi="Calibri" w:eastAsia="Calibri" w:cs="Calibri"/>
          <w:i/>
          <w:iCs/>
          <w:color w:val="000000"/>
          <w:sz w:val="22"/>
          <w:szCs w:val="22"/>
        </w:rPr>
        <w:t xml:space="preserve">Psueudotsuga menziesii.</w:t>
      </w:r>
      <w:r>
        <w:rPr>
          <w:rFonts w:ascii="Calibri" w:hAnsi="Calibri" w:eastAsia="Calibri" w:cs="Calibri"/>
          <w:color w:val="000000"/>
          <w:sz w:val="22"/>
          <w:szCs w:val="22"/>
        </w:rPr>
        <w:t xml:space="preserve"> However, other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species such as </w:t>
      </w:r>
      <w:r>
        <w:rPr>
          <w:rFonts w:ascii="Calibri" w:hAnsi="Calibri" w:eastAsia="Calibri" w:cs="Calibri"/>
          <w:i/>
          <w:iCs/>
          <w:color w:val="000000"/>
          <w:sz w:val="22"/>
          <w:szCs w:val="22"/>
        </w:rPr>
        <w:t xml:space="preserve">P. sylvestris, P. pinaster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pinea </w:t>
      </w:r>
      <w:r>
        <w:rPr>
          <w:rFonts w:ascii="Calibri" w:hAnsi="Calibri" w:eastAsia="Calibri" w:cs="Calibri"/>
          <w:color w:val="000000"/>
          <w:sz w:val="22"/>
          <w:szCs w:val="22"/>
        </w:rPr>
        <w:t xml:space="preserve">are among the most important forest species in Europe.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is an important forest species in Europe.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maculosus </w:t>
      </w:r>
      <w:r>
        <w:rPr>
          <w:rFonts w:ascii="Calibri" w:hAnsi="Calibri" w:eastAsia="Calibri" w:cs="Calibri"/>
          <w:color w:val="000000"/>
          <w:sz w:val="22"/>
          <w:szCs w:val="22"/>
        </w:rPr>
        <w:t xml:space="preserve">is widely distributed in Canada and the USA. There is no indication in the literature that the distribution of the beetle is expanding.</w:t>
      </w:r>
    </w:p>
    <w:p>
      <w:r>
        <w:drawing>
          <wp:inline distT="0" distB="0" distL="0" distR="0">
            <wp:extent cx="6120000" cy="3067200"/>
            <wp:docPr id="57112327" name="name8764669ec035c4bb5" descr="MONCM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MC_distribution_map.jpg"/>
                    <pic:cNvPicPr/>
                  </pic:nvPicPr>
                  <pic:blipFill>
                    <a:blip r:embed="rId9064669ec035c4bb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Northwest Territories, Nova Scotia, Ontario, Québec, Saskatchewan), United States of America (Arizona, California, Colorado, Idaho, Michigan, Minnesota, Montana, Nevada, New Mexico,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maculosus </w:t>
      </w:r>
      <w:r>
        <w:rPr>
          <w:rFonts w:ascii="Calibri" w:hAnsi="Calibri" w:eastAsia="Calibri" w:cs="Calibri"/>
          <w:color w:val="000000"/>
          <w:sz w:val="22"/>
          <w:szCs w:val="22"/>
        </w:rPr>
        <w:t xml:space="preserve">females lay eggs on fire-scorched, dying or recently felled pines or</w:t>
      </w:r>
      <w:r>
        <w:rPr>
          <w:rFonts w:ascii="Calibri" w:hAnsi="Calibri" w:eastAsia="Calibri" w:cs="Calibri"/>
          <w:i/>
          <w:iCs/>
          <w:color w:val="000000"/>
          <w:sz w:val="22"/>
          <w:szCs w:val="22"/>
        </w:rPr>
        <w:t xml:space="preserve"> Pseudotsuga menziesii</w:t>
      </w:r>
      <w:r>
        <w:rPr>
          <w:rFonts w:ascii="Calibri" w:hAnsi="Calibri" w:eastAsia="Calibri" w:cs="Calibri"/>
          <w:color w:val="000000"/>
          <w:sz w:val="22"/>
          <w:szCs w:val="22"/>
        </w:rPr>
        <w:t xml:space="preserve"> (Douglas-fir) trees. In Sevogle (New Brunswick, Canada),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adults appear to have two population peaks. In 2013. the timing of the first peak was unknown, but the second peak appeared to be in mid-August, although this could have been an artefact relating to sampling frequency (Boone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The flight period is from June to August (Linsley &amp; Chemsak, 1984). The life cycle information below is generic information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North America.</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usually occurs during sunny afternoons on the host. Soon after mating the female chews a slit in the bark and if the slit is suitably deep, she deposits a single egg, rarely two. Not all the slits contain eggs and as many as 75% of the slits may be abandoned. The females usually deposit eggs in the shady sides of the logs and avoid deep shade within the log decks or in heavily shaded areas of the forest. Oviposition occurs until the late summer.</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hatch within 1 or 2 weeks and the larvae tunnel through the inner bark to the cambium within a few days. Young larvae feed on the inner bark, cambium and outer sapwood for several weeks, forming shallow excavations called surface galleries and filling them with frass. By mid to late summer, the larva chews a characteristic oval-shaped entrance hole into the heartwood. The excavated excelsior-like wood chips and frass are expelled from these galleries to the surface of the log. As the larvae grow older, they bore deep into the heartwood, and then turn around, typically when 10-15 cm from the wood surface, and bore back towards the surface, thereby forming a characteristic U-shaped tunnel. Once the larva has reached the surface, it widens the gallery into a pupal cell where it overwinters as a prepupa. The pupal cell is separated from the bark by a thin layer of wood. Pupation takes around two weeks after which the adult emerges by chewing a circular exit hole out through the remaining wood and bark. After emergence, adults need to feed on the living bark of young twigs to reach sexual maturation. This phase is obligatory before mating and subsequent oviposition. Generally, the life cycle is 2 years although sometimes only one. Because of the overlapping generations, the adults are found each year and may be more abundant in some years depending on the availability of host material and habitat conditions. There is a wide between- and within-species variation in adult longevity, from ca. 1 month to ca. 5 months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Miller (1986) studied the impact of excluding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from freshly cut bolts (sections of a logs) of </w:t>
      </w:r>
      <w:r>
        <w:rPr>
          <w:rFonts w:ascii="Calibri" w:hAnsi="Calibri" w:eastAsia="Calibri" w:cs="Calibri"/>
          <w:i/>
          <w:iCs/>
          <w:color w:val="000000"/>
          <w:sz w:val="22"/>
          <w:szCs w:val="22"/>
        </w:rPr>
        <w:t xml:space="preserve">Pinus taeda </w:t>
      </w:r>
      <w:r>
        <w:rPr>
          <w:rFonts w:ascii="Calibri" w:hAnsi="Calibri" w:eastAsia="Calibri" w:cs="Calibri"/>
          <w:color w:val="000000"/>
          <w:sz w:val="22"/>
          <w:szCs w:val="22"/>
        </w:rPr>
        <w:t xml:space="preserve">on other insects. The presence of </w:t>
      </w:r>
      <w:r>
        <w:rPr>
          <w:rFonts w:ascii="Calibri" w:hAnsi="Calibri" w:eastAsia="Calibri" w:cs="Calibri"/>
          <w:i/>
          <w:iCs/>
          <w:color w:val="000000"/>
          <w:sz w:val="22"/>
          <w:szCs w:val="22"/>
        </w:rPr>
        <w:t xml:space="preserve">Monochamus titillator </w:t>
      </w:r>
      <w:r>
        <w:rPr>
          <w:rFonts w:ascii="Calibri" w:hAnsi="Calibri" w:eastAsia="Calibri" w:cs="Calibri"/>
          <w:color w:val="000000"/>
          <w:sz w:val="22"/>
          <w:szCs w:val="22"/>
        </w:rPr>
        <w:t xml:space="preserve">significantly reduced the number of emerging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Platysoma cylindricum </w:t>
      </w:r>
      <w:r>
        <w:rPr>
          <w:rFonts w:ascii="Calibri" w:hAnsi="Calibri" w:eastAsia="Calibri" w:cs="Calibri"/>
          <w:color w:val="000000"/>
          <w:sz w:val="22"/>
          <w:szCs w:val="22"/>
        </w:rPr>
        <w:t xml:space="preserve">(Coleoptera: Histeridae) and </w:t>
      </w:r>
      <w:r>
        <w:rPr>
          <w:rFonts w:ascii="Calibri" w:hAnsi="Calibri" w:eastAsia="Calibri" w:cs="Calibri"/>
          <w:i/>
          <w:iCs/>
          <w:color w:val="000000"/>
          <w:sz w:val="22"/>
          <w:szCs w:val="22"/>
        </w:rPr>
        <w:t xml:space="preserve">Medetera bistriata </w:t>
      </w:r>
      <w:r>
        <w:rPr>
          <w:rFonts w:ascii="Calibri" w:hAnsi="Calibri" w:eastAsia="Calibri" w:cs="Calibri"/>
          <w:color w:val="000000"/>
          <w:sz w:val="22"/>
          <w:szCs w:val="22"/>
        </w:rPr>
        <w:t xml:space="preserve">(Diptera: Dolichopodidae).This demonstrates that reducing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populations could lead to increased populations of other damaging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Dauer larvae of pine wood nematode, </w:t>
      </w:r>
      <w:hyperlink r:id="rId4546669ec035c5046" w:history="1">
        <w:r>
          <w:rPr>
            <w:rFonts w:ascii="Calibri" w:hAnsi="Calibri" w:eastAsia="Calibri" w:cs="Calibri"/>
            <w:i/>
            <w:iCs/>
            <w:color w:val="0000CC"/>
            <w:sz w:val="22"/>
            <w:szCs w:val="22"/>
            <w:u w:val="single"/>
          </w:rPr>
          <w:t xml:space="preserve">Bursaphelenchus xylophilus</w:t>
        </w:r>
      </w:hyperlink>
      <w:r>
        <w:rPr>
          <w:rFonts w:ascii="Calibri" w:hAnsi="Calibri" w:eastAsia="Calibri" w:cs="Calibri"/>
          <w:color w:val="000000"/>
          <w:sz w:val="22"/>
          <w:szCs w:val="22"/>
        </w:rPr>
        <w:t xml:space="preserve"> have been found in association with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Pinus banksiana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in Wisconsin Minnesota (Wingfield &amp; Blanchette, 1983).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888171489"/>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females for egg laying in the bark, although only a minority of these may have eggs in them,</w:t>
      </w:r>
    </w:p>
    <w:p>
      <w:pPr>
        <w:numPr>
          <w:ilvl w:val="0"/>
          <w:numId w:val="888171489"/>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888171489"/>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888171489"/>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888171489"/>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color w:val="000000"/>
          <w:sz w:val="22"/>
          <w:szCs w:val="22"/>
        </w:rPr>
        <w:t xml:space="preserve">There is no specific information on the juvenile stages of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the following descriptions are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eggs are white, elongate, cylindrical and slightly flattened, with rounded ends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They are about 3 mm long and 1 mm in diameter.</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young larvae are soft-bodied, elongate, and dirty white in colour, with a light yellow thorax and an amber brown head. The final instar larvae have 10 abdominal segments, and the length of mature larvae is between 25 and 50 mm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pupae resemble the adults with reduced wings, legs, antennae and mouthparts clearly visible. They are about 1.5-3 cm long.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provide a description of the adult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‘Male: Form moderate-sized to large, slightly tapering posteriorly; integument dark reddish-brown to piceous, elytra and appendages often paler reddish-brown; pubescence pale, gray and dark brown. Head rather small; front shallowly convex, finely, shallowly, confluently punctate, sparsely clothed with pale appressed pubescence, genae short, slightly convergent toward apex, median line shallow on front and vertex; antennae extending more than five segments beyond elytra, segments three to eight with minutely punctate sensory areas at apices, pubescence sparse, very short, appressed, becoming denser toward apical segments, eleventh segment slightly curved. Pronotum about as wide as long, lateral tubercles rounded at apices; disk with a shallow callus behind middle, middle transversely rugose; base and apex shallowly impressed; pubescence sparse, base of each lateral tubercle clothed with a patch of dense, pale appressed pubescence; prosternum transversely rugulose, sparsely pubescent; meso- and metasternum minutely, irregularly punctate, clothed with patches of white recumbent pubescence and longer, suberect hairs. Elytra over 2.5 times as long as broad; base with moderate number of rounded asperites, punctures behind moderately coarse, becoming finer toward apex; pubescence mottled, usually dark brown in elevated patches with gray patches in between; aspices narrowly rounded, sutures dentate. Scutellum white pubescent, broader than long, apex rounded. Legs moderately densely white pubescent, femora minutely densely punctate. Abdomen irregularly clothed with pale to fulvous recumbent pubescence; punctures sparse, minute; last sternite truncate at apex. Length 17-27 mm.</w:t>
      </w:r>
    </w:p>
    <w:p>
      <w:pPr>
        <w:widowControl w:val="on"/>
        <w:pBdr/>
        <w:spacing w:before="220" w:after="220" w:line="240" w:lineRule="auto"/>
        <w:ind w:left="0" w:right="0"/>
        <w:jc w:val="both"/>
      </w:pPr>
      <w:r>
        <w:rPr>
          <w:rFonts w:ascii="Calibri" w:hAnsi="Calibri" w:eastAsia="Calibri" w:cs="Calibri"/>
          <w:color w:val="000000"/>
          <w:sz w:val="22"/>
          <w:szCs w:val="22"/>
        </w:rPr>
        <w:t xml:space="preserve">Female: form similar, sides parallel. Antennae with white annulate, extending at most three segments beyond elytra. Abdomen with last sternite broadly truncate at apex, each side with a tuft of black hairs. Length 17-25 mm.’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for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Larvae can also be extracted from the bark or sapwood, and adults can be found walking or resting on cut or dead wood during the summer (EFSA, 2018). The most efficient detection method is trapping (see below).</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provide a key to North American cerambycidae in the subfamily Lamiinae, tribes Parmeninie through to Acanthoderini and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included in this.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also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Traps</w:t>
      </w:r>
    </w:p>
    <w:p>
      <w:pPr>
        <w:widowControl w:val="on"/>
        <w:pBdr/>
        <w:spacing w:before="220" w:after="220" w:line="240" w:lineRule="auto"/>
        <w:ind w:left="0" w:right="0"/>
        <w:jc w:val="both"/>
      </w:pPr>
      <w:r>
        <w:rPr>
          <w:rFonts w:ascii="Calibri" w:hAnsi="Calibri" w:eastAsia="Calibri" w:cs="Calibri"/>
          <w:color w:val="000000"/>
          <w:sz w:val="22"/>
          <w:szCs w:val="22"/>
        </w:rPr>
        <w:t xml:space="preserve">de Groot and Nott (2004) studied the response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to pheromones in stands of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(jack pine),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(black spruce) and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(balsam fir) in Ontario. They found no evidence that frontalin is a kairomone for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or that ipsdienol was attractive to either species when either compound was used at release rates commonly used for bark beetles.</w:t>
      </w:r>
    </w:p>
    <w:p>
      <w:pPr>
        <w:widowControl w:val="on"/>
        <w:pBdr/>
        <w:spacing w:before="220" w:after="220" w:line="240" w:lineRule="auto"/>
        <w:ind w:left="0" w:right="0"/>
        <w:jc w:val="both"/>
      </w:pPr>
      <w:r>
        <w:rPr>
          <w:rFonts w:ascii="Calibri" w:hAnsi="Calibri" w:eastAsia="Calibri" w:cs="Calibri"/>
          <w:color w:val="000000"/>
          <w:sz w:val="22"/>
          <w:szCs w:val="22"/>
        </w:rPr>
        <w:t xml:space="preserve">In a field and laboratory study,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provided evidence that monochamol is a component of the pheromone produced by male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Field data also suggested that it is likely to be a pheromone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this gives support for the hypothesis that it is a pheromone for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This mixture of four compounds, was more effective than unbaited traps or traps with a mixture of ipsenol and ipsdienol or traps with a mixture of ethanol and α-pinene. Ethanol is produced by stressed conifer trees and α-pinene is a constituent of the oleoresin of most pine species. Ipsenol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which supported evidence from previous studies (e.g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 2012;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they also provided the first evidence that monochamol is attractive to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The studies also demonstrated a synergism between monochamol and host volatiles.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 There is evidence showing that monochamol is attractive to 12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and so it has excellent potential for surveys of beetles of the genus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and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pathways of movement for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and thus the following information is generic to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able to naturally disperse by flight. A number of dispersal studies have been carried out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For example, </w:t>
      </w: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adults were shown to be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per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human assisted spread of pine wood nematode can occur over much larger distances with an annual mean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Adults can be transported within containers as hitch hikers (EFSA, 2018). Between 1998 and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EU (EFSA, 2018). Between 1984 and 2008,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(Leconte) (1),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(Oliver) (5),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(Fabricius) (5),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(Say) (2),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(Linnaeus) (9) and </w:t>
      </w:r>
      <w:r>
        <w:rPr>
          <w:rFonts w:ascii="Calibri" w:hAnsi="Calibri" w:eastAsia="Calibri" w:cs="Calibri"/>
          <w:i/>
          <w:iCs/>
          <w:color w:val="000000"/>
          <w:sz w:val="22"/>
          <w:szCs w:val="22"/>
        </w:rPr>
        <w:t xml:space="preserve">M. tesserula </w:t>
      </w:r>
      <w:r>
        <w:rPr>
          <w:rFonts w:ascii="Calibri" w:hAnsi="Calibri" w:eastAsia="Calibri" w:cs="Calibri"/>
          <w:color w:val="000000"/>
          <w:sz w:val="22"/>
          <w:szCs w:val="22"/>
        </w:rPr>
        <w:t xml:space="preserve">White (1) (Eyre &amp; Haack,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females lay their eggs in various parts of host trees, including smaller branches down to 2 cm in diameter.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as they usually attack weakened or dead trees and weakened trees are unlikely to be traded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information on the impacts of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but the species is damaging to fire-scorched, dying or recently felled pines or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(throughout the Western States (Keen, 1952).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not considered to be plant pests in their own right because they do not tend to attack healthy trees. However, they can cause damage to timber and facilitate the introduction and spread of pine wood nematode in Europe (EFSA, 2018).</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rarely, if ever, attack vigorously growing trees (Gibson, 2010). However, the impact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the USA is high, largely due to export restrictions of forestry products associated with pine wood nematode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In the USA, larvae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are responsible for extensive damage to fire damaged, dying, recently felled conifers of various species—but especially pines, spruce, true firs, and Douglas-fir. The larvae damage infested trees and logs through a series of extensive mines that introduce decay-causing fungi (Baker, 1972, Gibson, 2010). Wood chips harvested from wood infested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can be too small for use at pulp mills (Wilson,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introduced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Debarking of harvested wood can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Wilson (1962) studied attacks by wood boring insects on stacks of felled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USA.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the most frequently observed cerambycid beetle, accounting for approximately 90-95% of all beetles observed.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also occasionally observed and the principles are likely to apply to all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Piles of wood placed in full shade suffered less damage than wood exposed to the sun. Also, standard piles with less wood exposed to beetle damage suffered less damage than piles stacked in ‘pens’ with wood stacked in open perpendicular layers. The average volume of wood lost from standard piles of wood over two years in the sun ranged from 0.47% of interior logs to 2.64% for exterior logs and for piles in the shade from 0.37% for interior logs to 0.59 % for exterior logs. Damage to felled wood can be reduced by: i) transporting wood as soon as possible after felling; ii) placing in wood in the shade of other trees; iii)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It is possible for timber to become infested during transit; measures to reduce this risk include: not transporting wood through infested areas; not transporting wood during the flight season or covering the wood during transit (EPPO,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such as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into Europe could introduce pine wood nematode to new locations and hosts, and enhance the rate of spread of the pest. Pinewood nematode has caused severe damage to forests in East Asia and in Europe and the impacts are likely to increase (EFSA, 2018).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is a potential vector of pine wood nematode (Akbulut &amp; Stamps,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phytosanitary measures specific to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(EPPO, 2018). There are recommendations by host species to reduce the risk of introducing pine 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vectors on wood. One method of safely obtaining host wood is to source if from pest free areas. Wood can also be treated to kill any pests that are present within it and / or prevent it becoming infested. The following treatments are recommended: heat treatment according to EPPO Standard PM 10/6: Heat treatment of wood to control insects and wood-borne nematodes (EPPO, 2009); treating with ionizing radiation according to EPPO Standard 10/8: Disinfestation of wood with ionizing radiation (EPPO, 2009) or appropriate fumigation with details specified on the phytosanitary certificate (EPPO, 2018). It is possible for timber to become infested during transit; measures to reduce this risk include: not transporting wood through infested areas; not transporting wood during the flight season or covering the wood during transit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Regulation of wood packaging material in international trade (IPPC, 2019)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Stamps WT (2012) Insect vectors of the pinewood nematode: a review of the biology and ecology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&amp; Linit MJ (2017) Cerambycids as plant disease vectors with special reference to pine wilt. In </w:t>
      </w:r>
      <w:r>
        <w:rPr>
          <w:rFonts w:ascii="Calibri" w:hAnsi="Calibri" w:eastAsia="Calibri" w:cs="Calibri"/>
          <w:i/>
          <w:iCs/>
          <w:color w:val="000000"/>
          <w:sz w:val="22"/>
          <w:szCs w:val="22"/>
        </w:rPr>
        <w:t xml:space="preserve">Cerambycidae of the world</w:t>
      </w:r>
      <w:r>
        <w:rPr>
          <w:rFonts w:ascii="Calibri" w:hAnsi="Calibri" w:eastAsia="Calibri" w:cs="Calibri"/>
          <w:color w:val="000000"/>
          <w:sz w:val="22"/>
          <w:szCs w:val="22"/>
        </w:rPr>
        <w:t xml:space="preserve">, pp. 209-252. CRC Press, Boca Raton,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(1972) </w:t>
      </w:r>
      <w:r>
        <w:rPr>
          <w:rFonts w:ascii="Calibri" w:hAnsi="Calibri" w:eastAsia="Calibri" w:cs="Calibri"/>
          <w:i/>
          <w:iCs/>
          <w:color w:val="000000"/>
          <w:sz w:val="22"/>
          <w:szCs w:val="22"/>
        </w:rPr>
        <w:t xml:space="preserve">Eastern forest insects</w:t>
      </w:r>
      <w:r>
        <w:rPr>
          <w:rFonts w:ascii="Calibri" w:hAnsi="Calibri" w:eastAsia="Calibri" w:cs="Calibri"/>
          <w:color w:val="000000"/>
          <w:sz w:val="22"/>
          <w:szCs w:val="22"/>
        </w:rPr>
        <w:t xml:space="preserve">. U.S. Dept. of Agriculture, Forest Service, Washington.</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Monochamus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Bousquet Y (1991) Checklist of beetles of Canada and Alaska. Agriculture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de Groot P &amp; Nott RW (2004) Response of the whitespotted sawyer beetle, </w:t>
      </w:r>
      <w:r>
        <w:rPr>
          <w:rFonts w:ascii="Calibri" w:hAnsi="Calibri" w:eastAsia="Calibri" w:cs="Calibri"/>
          <w:i/>
          <w:iCs/>
          <w:color w:val="000000"/>
          <w:sz w:val="22"/>
          <w:szCs w:val="22"/>
        </w:rPr>
        <w:t xml:space="preserve">Monochamus s. scutellatus</w:t>
      </w:r>
      <w:r>
        <w:rPr>
          <w:rFonts w:ascii="Calibri" w:hAnsi="Calibri" w:eastAsia="Calibri" w:cs="Calibri"/>
          <w:color w:val="000000"/>
          <w:sz w:val="22"/>
          <w:szCs w:val="22"/>
        </w:rPr>
        <w:t xml:space="preserve">, and associated woodborers to pheromones of some Ips and Dendroctonus bark beetles.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483-487.</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Disinfestation of wood with ionizing radiation.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31-31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et al. (the pine wood nematode). In </w:t>
      </w:r>
      <w:r>
        <w:rPr>
          <w:rFonts w:ascii="Calibri" w:hAnsi="Calibri" w:eastAsia="Calibri" w:cs="Calibri"/>
          <w:i/>
          <w:iCs/>
          <w:color w:val="000000"/>
          <w:sz w:val="22"/>
          <w:szCs w:val="22"/>
        </w:rPr>
        <w:t xml:space="preserve">2012/535</w:t>
      </w:r>
      <w:r>
        <w:rPr>
          <w:rFonts w:ascii="Calibri" w:hAnsi="Calibri" w:eastAsia="Calibri" w:cs="Calibri"/>
          <w:color w:val="000000"/>
          <w:sz w:val="22"/>
          <w:szCs w:val="22"/>
        </w:rPr>
        <w:t xml:space="preserve">, Brussels.</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Fierke MK, Skabeikis DD, Millar JG, Teale SA, McElfresh JS &amp; Hanks LM (2012) Identification of a male-produced aggregation pheromone for Monochamus scutellatus scutellatus and an attractant for the congener Monochamus notatus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2029-34.</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15: Regulation of wood packaging material in international trade. Rome.</w:t>
      </w:r>
    </w:p>
    <w:p>
      <w:pPr>
        <w:widowControl w:val="on"/>
        <w:pBdr/>
        <w:spacing w:before="220" w:after="220" w:line="240" w:lineRule="auto"/>
        <w:ind w:left="0" w:right="0"/>
        <w:jc w:val="left"/>
      </w:pPr>
      <w:r>
        <w:rPr>
          <w:rFonts w:ascii="Calibri" w:hAnsi="Calibri" w:eastAsia="Calibri" w:cs="Calibri"/>
          <w:color w:val="000000"/>
          <w:sz w:val="22"/>
          <w:szCs w:val="22"/>
        </w:rPr>
        <w:t xml:space="preserve">Junk W (1921) </w:t>
      </w:r>
      <w:r>
        <w:rPr>
          <w:rFonts w:ascii="Calibri" w:hAnsi="Calibri" w:eastAsia="Calibri" w:cs="Calibri"/>
          <w:i/>
          <w:iCs/>
          <w:color w:val="000000"/>
          <w:sz w:val="22"/>
          <w:szCs w:val="22"/>
        </w:rPr>
        <w:t xml:space="preserve">Coleopterorum Catalogus</w:t>
      </w:r>
      <w:r>
        <w:rPr>
          <w:rFonts w:ascii="Calibri" w:hAnsi="Calibri" w:eastAsia="Calibri" w:cs="Calibri"/>
          <w:color w:val="000000"/>
          <w:sz w:val="22"/>
          <w:szCs w:val="22"/>
        </w:rPr>
        <w:t xml:space="preserve">, Berlin.</w:t>
      </w:r>
    </w:p>
    <w:p>
      <w:pPr>
        <w:widowControl w:val="on"/>
        <w:pBdr/>
        <w:spacing w:before="220" w:after="220" w:line="240" w:lineRule="auto"/>
        <w:ind w:left="0" w:right="0"/>
        <w:jc w:val="left"/>
      </w:pPr>
      <w:r>
        <w:rPr>
          <w:rFonts w:ascii="Calibri" w:hAnsi="Calibri" w:eastAsia="Calibri" w:cs="Calibri"/>
          <w:color w:val="000000"/>
          <w:sz w:val="22"/>
          <w:szCs w:val="22"/>
        </w:rPr>
        <w:t xml:space="preserve">Keen FP (1952) Insect enemies of western forests. pp. 273.</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Lindquist EE &amp; Wu KW (1991) Review of mites of the genus </w:t>
      </w:r>
      <w:r>
        <w:rPr>
          <w:rFonts w:ascii="Calibri" w:hAnsi="Calibri" w:eastAsia="Calibri" w:cs="Calibri"/>
          <w:i/>
          <w:iCs/>
          <w:color w:val="000000"/>
          <w:sz w:val="22"/>
          <w:szCs w:val="22"/>
        </w:rPr>
        <w:t xml:space="preserve">Mucroseius</w:t>
      </w:r>
      <w:r>
        <w:rPr>
          <w:rFonts w:ascii="Calibri" w:hAnsi="Calibri" w:eastAsia="Calibri" w:cs="Calibri"/>
          <w:color w:val="000000"/>
          <w:sz w:val="22"/>
          <w:szCs w:val="22"/>
        </w:rPr>
        <w:t xml:space="preserve"> (Acari, Mesostigmata, Ascidae) associated with sawyer beetles (Cerambycidae,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Mecynippus</w:t>
      </w:r>
      <w:r>
        <w:rPr>
          <w:rFonts w:ascii="Calibri" w:hAnsi="Calibri" w:eastAsia="Calibri" w:cs="Calibri"/>
          <w:color w:val="000000"/>
          <w:sz w:val="22"/>
          <w:szCs w:val="22"/>
        </w:rPr>
        <w:t xml:space="preserve">) and pine wood nematodes Aphelenchoididae,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And Buhrer) Nickle , with descriptions of 6 new species from Japan and North-America, and notes on their previous misidentification.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875-927.</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 &amp; Chemsak J (1984) </w:t>
      </w:r>
      <w:r>
        <w:rPr>
          <w:rFonts w:ascii="Calibri" w:hAnsi="Calibri" w:eastAsia="Calibri" w:cs="Calibri"/>
          <w:i/>
          <w:iCs/>
          <w:color w:val="000000"/>
          <w:sz w:val="22"/>
          <w:szCs w:val="22"/>
        </w:rPr>
        <w:t xml:space="preserve">The Cerambycidae of North America Part VII, No. 1: taxonomy and classification of the subfamily Lamiinae, tribes Parmeninie through Acanthoderini</w:t>
      </w:r>
      <w:r>
        <w:rPr>
          <w:rFonts w:ascii="Calibri" w:hAnsi="Calibri" w:eastAsia="Calibri" w:cs="Calibri"/>
          <w:color w:val="000000"/>
          <w:sz w:val="22"/>
          <w:szCs w:val="22"/>
        </w:rPr>
        <w:t xml:space="preserve">.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Monochamus galloprovincialis (Olivier 1795).</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Monochamus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MC (1986) Within-tree effects of bark beetle insect associates on the emergence of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 pp.</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Wingfield MJ &amp; Blanchette RA (1983)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in Minnesota and Wisconsin - insect associates and transmission studies. </w:t>
      </w:r>
      <w:r>
        <w:rPr>
          <w:rFonts w:ascii="Calibri" w:hAnsi="Calibri" w:eastAsia="Calibri" w:cs="Calibri"/>
          <w:i/>
          <w:iCs/>
          <w:color w:val="000000"/>
          <w:sz w:val="22"/>
          <w:szCs w:val="22"/>
        </w:rPr>
        <w:t xml:space="preserve">Canadian Journal of Forest Research-Revue Canadienne De Recherche Forestière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1068-1076.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maculosus</w:t>
      </w:r>
      <w:r>
        <w:rPr>
          <w:rFonts w:ascii="Calibri" w:hAnsi="Calibri" w:eastAsia="Calibri" w:cs="Calibri"/>
          <w:color w:val="000000"/>
          <w:sz w:val="22"/>
          <w:szCs w:val="22"/>
        </w:rPr>
        <w:t xml:space="preserve">. EPPO datasheets on pests recommended for regulation. Available online. </w:t>
      </w:r>
      <w:hyperlink r:id="rId4086669ec035c6fe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8240021" name="name1843669ec035c723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728669ec035c723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8171489">
    <w:multiLevelType w:val="hybridMultilevel"/>
    <w:lvl w:ilvl="0" w:tplc="79395909">
      <w:start w:val="1"/>
      <w:numFmt w:val="decimal"/>
      <w:lvlText w:val="%1."/>
      <w:lvlJc w:val="left"/>
      <w:pPr>
        <w:ind w:left="720" w:hanging="360"/>
      </w:pPr>
    </w:lvl>
    <w:lvl w:ilvl="1" w:tplc="79395909" w:tentative="1">
      <w:start w:val="1"/>
      <w:numFmt w:val="lowerLetter"/>
      <w:lvlText w:val="%2."/>
      <w:lvlJc w:val="left"/>
      <w:pPr>
        <w:ind w:left="1440" w:hanging="360"/>
      </w:pPr>
    </w:lvl>
    <w:lvl w:ilvl="2" w:tplc="79395909" w:tentative="1">
      <w:start w:val="1"/>
      <w:numFmt w:val="lowerRoman"/>
      <w:lvlText w:val="%3."/>
      <w:lvlJc w:val="right"/>
      <w:pPr>
        <w:ind w:left="2160" w:hanging="180"/>
      </w:pPr>
    </w:lvl>
    <w:lvl w:ilvl="3" w:tplc="79395909" w:tentative="1">
      <w:start w:val="1"/>
      <w:numFmt w:val="decimal"/>
      <w:lvlText w:val="%4."/>
      <w:lvlJc w:val="left"/>
      <w:pPr>
        <w:ind w:left="2880" w:hanging="360"/>
      </w:pPr>
    </w:lvl>
    <w:lvl w:ilvl="4" w:tplc="79395909" w:tentative="1">
      <w:start w:val="1"/>
      <w:numFmt w:val="lowerLetter"/>
      <w:lvlText w:val="%5."/>
      <w:lvlJc w:val="left"/>
      <w:pPr>
        <w:ind w:left="3600" w:hanging="360"/>
      </w:pPr>
    </w:lvl>
    <w:lvl w:ilvl="5" w:tplc="79395909" w:tentative="1">
      <w:start w:val="1"/>
      <w:numFmt w:val="lowerRoman"/>
      <w:lvlText w:val="%6."/>
      <w:lvlJc w:val="right"/>
      <w:pPr>
        <w:ind w:left="4320" w:hanging="180"/>
      </w:pPr>
    </w:lvl>
    <w:lvl w:ilvl="6" w:tplc="79395909" w:tentative="1">
      <w:start w:val="1"/>
      <w:numFmt w:val="decimal"/>
      <w:lvlText w:val="%7."/>
      <w:lvlJc w:val="left"/>
      <w:pPr>
        <w:ind w:left="5040" w:hanging="360"/>
      </w:pPr>
    </w:lvl>
    <w:lvl w:ilvl="7" w:tplc="79395909" w:tentative="1">
      <w:start w:val="1"/>
      <w:numFmt w:val="lowerLetter"/>
      <w:lvlText w:val="%8."/>
      <w:lvlJc w:val="left"/>
      <w:pPr>
        <w:ind w:left="5760" w:hanging="360"/>
      </w:pPr>
    </w:lvl>
    <w:lvl w:ilvl="8" w:tplc="79395909" w:tentative="1">
      <w:start w:val="1"/>
      <w:numFmt w:val="lowerRoman"/>
      <w:lvlText w:val="%9."/>
      <w:lvlJc w:val="right"/>
      <w:pPr>
        <w:ind w:left="6480" w:hanging="180"/>
      </w:pPr>
    </w:lvl>
  </w:abstractNum>
  <w:abstractNum w:abstractNumId="65289624">
    <w:multiLevelType w:val="hybridMultilevel"/>
    <w:lvl w:ilvl="0" w:tplc="33509617">
      <w:start w:val="1"/>
      <w:numFmt w:val="decimal"/>
      <w:lvlText w:val="%1."/>
      <w:lvlJc w:val="left"/>
      <w:pPr>
        <w:ind w:left="720" w:hanging="360"/>
      </w:pPr>
    </w:lvl>
    <w:lvl w:ilvl="1" w:tplc="33509617" w:tentative="1">
      <w:start w:val="1"/>
      <w:numFmt w:val="lowerLetter"/>
      <w:lvlText w:val="%2."/>
      <w:lvlJc w:val="left"/>
      <w:pPr>
        <w:ind w:left="1440" w:hanging="360"/>
      </w:pPr>
    </w:lvl>
    <w:lvl w:ilvl="2" w:tplc="33509617" w:tentative="1">
      <w:start w:val="1"/>
      <w:numFmt w:val="lowerRoman"/>
      <w:lvlText w:val="%3."/>
      <w:lvlJc w:val="right"/>
      <w:pPr>
        <w:ind w:left="2160" w:hanging="180"/>
      </w:pPr>
    </w:lvl>
    <w:lvl w:ilvl="3" w:tplc="33509617" w:tentative="1">
      <w:start w:val="1"/>
      <w:numFmt w:val="decimal"/>
      <w:lvlText w:val="%4."/>
      <w:lvlJc w:val="left"/>
      <w:pPr>
        <w:ind w:left="2880" w:hanging="360"/>
      </w:pPr>
    </w:lvl>
    <w:lvl w:ilvl="4" w:tplc="33509617" w:tentative="1">
      <w:start w:val="1"/>
      <w:numFmt w:val="lowerLetter"/>
      <w:lvlText w:val="%5."/>
      <w:lvlJc w:val="left"/>
      <w:pPr>
        <w:ind w:left="3600" w:hanging="360"/>
      </w:pPr>
    </w:lvl>
    <w:lvl w:ilvl="5" w:tplc="33509617" w:tentative="1">
      <w:start w:val="1"/>
      <w:numFmt w:val="lowerRoman"/>
      <w:lvlText w:val="%6."/>
      <w:lvlJc w:val="right"/>
      <w:pPr>
        <w:ind w:left="4320" w:hanging="180"/>
      </w:pPr>
    </w:lvl>
    <w:lvl w:ilvl="6" w:tplc="33509617" w:tentative="1">
      <w:start w:val="1"/>
      <w:numFmt w:val="decimal"/>
      <w:lvlText w:val="%7."/>
      <w:lvlJc w:val="left"/>
      <w:pPr>
        <w:ind w:left="5040" w:hanging="360"/>
      </w:pPr>
    </w:lvl>
    <w:lvl w:ilvl="7" w:tplc="33509617" w:tentative="1">
      <w:start w:val="1"/>
      <w:numFmt w:val="lowerLetter"/>
      <w:lvlText w:val="%8."/>
      <w:lvlJc w:val="left"/>
      <w:pPr>
        <w:ind w:left="5760" w:hanging="360"/>
      </w:pPr>
    </w:lvl>
    <w:lvl w:ilvl="8" w:tplc="33509617" w:tentative="1">
      <w:start w:val="1"/>
      <w:numFmt w:val="lowerRoman"/>
      <w:lvlText w:val="%9."/>
      <w:lvlJc w:val="right"/>
      <w:pPr>
        <w:ind w:left="6480" w:hanging="180"/>
      </w:pPr>
    </w:lvl>
  </w:abstractNum>
  <w:abstractNum w:abstractNumId="65289623">
    <w:multiLevelType w:val="hybridMultilevel"/>
    <w:lvl w:ilvl="0" w:tplc="481742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289623">
    <w:abstractNumId w:val="65289623"/>
  </w:num>
  <w:num w:numId="65289624">
    <w:abstractNumId w:val="65289624"/>
  </w:num>
  <w:num w:numId="888171489">
    <w:abstractNumId w:val="88817148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03219731" Type="http://schemas.microsoft.com/office/2011/relationships/commentsExtended" Target="commentsExtended.xml"/><Relationship Id="rId738886566" Type="http://schemas.microsoft.com/office/2011/relationships/people" Target="people.xml"/><Relationship Id="rId3897669ec035c38e7" Type="http://schemas.openxmlformats.org/officeDocument/2006/relationships/hyperlink" Target="https://gd.eppo.int/taxon/MONCMC/" TargetMode="External"/><Relationship Id="rId2631669ec035c392d" Type="http://schemas.openxmlformats.org/officeDocument/2006/relationships/hyperlink" Target="https://gd.eppo.int/taxon/MONCMC/categorization" TargetMode="External"/><Relationship Id="rId4546669ec035c5046" Type="http://schemas.openxmlformats.org/officeDocument/2006/relationships/hyperlink" Target="https://gd.eppo.int/taxon/BURSXY/datasheet" TargetMode="External"/><Relationship Id="rId4086669ec035c6fe1" Type="http://schemas.openxmlformats.org/officeDocument/2006/relationships/hyperlink" Target="https://gd.eppo.int" TargetMode="External"/><Relationship Id="rId9064669ec035c4bb1" Type="http://schemas.openxmlformats.org/officeDocument/2006/relationships/image" Target="media/imgrId9064669ec035c4bb1.jpg"/><Relationship Id="rId4728669ec035c7233" Type="http://schemas.openxmlformats.org/officeDocument/2006/relationships/image" Target="media/imgrId4728669ec035c723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