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maculosus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maculosus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Haldeman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mutator</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spotted pine sawyer</w:t>
            </w:r>
            <w:hyperlink r:id="rId429568049b5482c7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95968049b5482cb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Monochamus mutator </w:t>
      </w:r>
      <w:r>
        <w:rPr>
          <w:rFonts w:ascii="Calibri" w:hAnsi="Calibri" w:eastAsia="Calibri" w:cs="Calibri"/>
          <w:color w:val="000000"/>
          <w:sz w:val="22"/>
          <w:szCs w:val="22"/>
        </w:rPr>
        <w:t xml:space="preserve">LeConte, 1850 has also been widely used for this species throughout the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has been recorded from two species of pines that are native to North America, </w:t>
      </w:r>
      <w:r>
        <w:rPr>
          <w:rFonts w:ascii="Calibri" w:hAnsi="Calibri" w:eastAsia="Calibri" w:cs="Calibri"/>
          <w:i/>
          <w:iCs/>
          <w:color w:val="000000"/>
          <w:sz w:val="22"/>
          <w:szCs w:val="22"/>
        </w:rPr>
        <w:t xml:space="preserve">P.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resinosa, </w:t>
      </w:r>
      <w:r>
        <w:rPr>
          <w:rFonts w:ascii="Calibri" w:hAnsi="Calibri" w:eastAsia="Calibri" w:cs="Calibri"/>
          <w:color w:val="000000"/>
          <w:sz w:val="22"/>
          <w:szCs w:val="22"/>
        </w:rPr>
        <w:t xml:space="preserve">neither species are important forest trees in Europe and </w:t>
      </w:r>
      <w:r>
        <w:rPr>
          <w:rFonts w:ascii="Calibri" w:hAnsi="Calibri" w:eastAsia="Calibri" w:cs="Calibri"/>
          <w:i/>
          <w:iCs/>
          <w:color w:val="000000"/>
          <w:sz w:val="22"/>
          <w:szCs w:val="22"/>
        </w:rPr>
        <w:t xml:space="preserve">Psueudotsuga menziesii.</w:t>
      </w:r>
      <w:r>
        <w:rPr>
          <w:rFonts w:ascii="Calibri" w:hAnsi="Calibri" w:eastAsia="Calibri" w:cs="Calibri"/>
          <w:color w:val="000000"/>
          <w:sz w:val="22"/>
          <w:szCs w:val="22"/>
        </w:rPr>
        <w:t xml:space="preserve"> However, other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such as </w:t>
      </w:r>
      <w:r>
        <w:rPr>
          <w:rFonts w:ascii="Calibri" w:hAnsi="Calibri" w:eastAsia="Calibri" w:cs="Calibri"/>
          <w:i/>
          <w:iCs/>
          <w:color w:val="000000"/>
          <w:sz w:val="22"/>
          <w:szCs w:val="22"/>
        </w:rPr>
        <w:t xml:space="preserve">P. sylvestris, P. pinaster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pinea </w:t>
      </w:r>
      <w:r>
        <w:rPr>
          <w:rFonts w:ascii="Calibri" w:hAnsi="Calibri" w:eastAsia="Calibri" w:cs="Calibri"/>
          <w:color w:val="000000"/>
          <w:sz w:val="22"/>
          <w:szCs w:val="22"/>
        </w:rPr>
        <w:t xml:space="preserve">are among the most important forest species in Europe.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is an important forest species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is widely distributed in Canada and the USA. There is no indication in the literature that the distribution of the beetle is expanding.</w:t>
      </w:r>
    </w:p>
    <w:p>
      <w:r>
        <w:drawing>
          <wp:inline distT="0" distB="0" distL="0" distR="0">
            <wp:extent cx="6120000" cy="3067200"/>
            <wp:docPr id="93448474" name="name649568049b5483f33" descr="MONCM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C_distribution_map.jpg"/>
                    <pic:cNvPicPr/>
                  </pic:nvPicPr>
                  <pic:blipFill>
                    <a:blip r:embed="rId209968049b5483f2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United States of America (Arizona, California, Colorado, Idaho, Michigan, Minnesota, Montana, Nevada, New Mexico,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females lay eggs on fire-scorched, dying or recently felled pines or</w:t>
      </w:r>
      <w:r>
        <w:rPr>
          <w:rFonts w:ascii="Calibri" w:hAnsi="Calibri" w:eastAsia="Calibri" w:cs="Calibri"/>
          <w:i/>
          <w:iCs/>
          <w:color w:val="000000"/>
          <w:sz w:val="22"/>
          <w:szCs w:val="22"/>
        </w:rPr>
        <w:t xml:space="preserve"> Pseudotsuga menziesii</w:t>
      </w:r>
      <w:r>
        <w:rPr>
          <w:rFonts w:ascii="Calibri" w:hAnsi="Calibri" w:eastAsia="Calibri" w:cs="Calibri"/>
          <w:color w:val="000000"/>
          <w:sz w:val="22"/>
          <w:szCs w:val="22"/>
        </w:rPr>
        <w:t xml:space="preserve"> (Douglas-fir) trees. In Sevogle (New Brunswick, Canada),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adults appear to have two population peaks. In 2013. the timing of the first peak was unknown, but the second peak appeared to be in mid-August, although this could have been an artefact relating to sampling frequency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flight period is from June to August (Linsley &amp; Chemsak, 1984). The life cycle information below is generic information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North America.</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usually occurs during sunny afternoons on the host. Soon after mating the female chews a slit in the bark and if the slit is suitably deep, she deposits a single egg, rarely two. Not all the slits contain eggs and as many as 75% of the slits may be abandoned. The females usually deposit eggs in the shady sides of the logs and avoid deep shade within the log decks or in heavily shaded areas of the forest. Oviposition occurs until the late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within 1 or 2 weeks and the larvae tunnel through the inner bark to the cambium within a few days. Young larvae feed on the inner bark, cambium and outer sapwood for several weeks, forming shallow excavations called surface galleries and filling them with frass. By mid to late summer, the larva chews a characteristic oval-shaped entrance hole into the heartwood. The excavated excelsior-like wood chips and frass are expelled from these galleries to the surface of the log. As the larvae grow older, they bore deep into the heartwood, and then turn around, typically when 10-15 cm from the wood surface, and bore back towards the surface, thereby forming a characteristic U-shaped tunnel. Once the larva has reached the surface, it widens the gallery into a pupal cell where it overwinters as a prepupa. The pupal cell is separated from the bark by a thin layer of wood. Pupation takes around two weeks after which the adult emerges by chewing a circular exit hole out through the remaining wood and bark. After emergence, adults need to feed on the living bark of young twigs to reach sexual maturation. This phase is obligatory before mating and subsequent oviposition. Generally, the life cycle is 2 years although sometimes only one. Because of the overlapping generations, the adults are found each year and may be more abundant in some years depending on the availability of host material and habitat conditions. There is a wide between- and within-species variation in adult longevity, from ca. 1 month to ca. 5 months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hyperlink r:id="rId903468049b54843a3" w:history="1">
        <w:r>
          <w:rPr>
            <w:rFonts w:ascii="Calibri" w:hAnsi="Calibri" w:eastAsia="Calibri" w:cs="Calibri"/>
            <w:i/>
            <w:iCs/>
            <w:color w:val="0000CC"/>
            <w:sz w:val="22"/>
            <w:szCs w:val="22"/>
            <w:u w:val="single"/>
          </w:rPr>
          <w:t xml:space="preserve">Bursaphelenchus xylophilus</w:t>
        </w:r>
      </w:hyperlink>
      <w:r>
        <w:rPr>
          <w:rFonts w:ascii="Calibri" w:hAnsi="Calibri" w:eastAsia="Calibri" w:cs="Calibri"/>
          <w:color w:val="000000"/>
          <w:sz w:val="22"/>
          <w:szCs w:val="22"/>
        </w:rPr>
        <w:t xml:space="preserve"> have been found in association with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in Wisconsin Minnesota (Wingfield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715645725"/>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females for egg laying in the bark, although only a minority of these may have eggs in them,</w:t>
      </w:r>
    </w:p>
    <w:p>
      <w:pPr>
        <w:numPr>
          <w:ilvl w:val="0"/>
          <w:numId w:val="715645725"/>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715645725"/>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715645725"/>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715645725"/>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specific information on the juvenile stages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the following descriptions are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description of the adult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moderate-sized to large, slightly tapering posteriorly; integument dark reddish-brown to piceous, elytra and appendages often paler reddish-brown; pubescence pale, gray and dark brown. Head rather small; front shallowly convex, finely, shallowly, confluently punctate, sparsely clothed with pale appressed pubescence, genae short, slightly convergent toward apex, median line shallow on front and vertex; antennae extending more than five segments beyond elytra, segments three to eight with minutely punctate sensory areas at apices, pubescence sparse, very short, appressed, becoming denser toward apical segments, eleventh segment slightly curved. Pronotum about as wide as long, lateral tubercles rounded at apices; disk with a shallow callus behind middle, middle transversely rugose; base and apex shallowly impressed; pubescence sparse, base of each lateral tubercle clothed with a patch of dense, pale appressed pubescence; prosternum transversely rugulose, sparsely pubescent; meso- and metasternum minutely, irregularly punctate, clothed with patches of white recumbent pubescence and longer, suberect hairs. Elytra over 2.5 times as long as broad; base with moderate number of rounded asperites, punctures behind moderately coarse, becoming finer toward apex; pubescence mottled, usually dark brown in elevated patches with gray patches in between; aspices narrowly rounded, sutures dentate. Scutellum white pubescent, broader than long, apex rounded. Legs moderately densely white pubescent, femora minutely densely punctate. Abdomen irregularly clothed with pale to fulvous recumbent pubescence; punctures sparse, minute; last sternite truncate at apex. Length 17-27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similar, sides parallel. Antennae with white annulate, extending at most three segments beyond elytra. Abdomen with last sternite broadly truncate at apex, each side with a tuft of black hairs. Length 17-25 mm.’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key to North American cerambycidae in the subfamily Lamiinae, tribes Parmeninie through to Acanthoderini and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included in this.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(black spruce) and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(balsam fir) in Ontario. They found no evidence that frontalin is a kairomone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or that ipsdienol was attractive to either species when either compound was used at release rates commonly used for bark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this gives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pathways of movement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and thus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per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an annual mean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Adults can be transported within containers as hitch hikers (EFSA, 2018).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host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as they usually attack weakened or dead trees and weakened trees are unlikely to be traded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impacts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the species is damaging to fire-scorched, dying or recently felled pines or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(throughout the Western States (Keen, 1952).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facilitate the introduction and spread of pine wood nematode in Europe (EFSA, 2018).</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export restrictions of forestry products associated with pine wood nematode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In the USA,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responsible for extensive damage to fire damaged, dying, recently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introduced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Debarking of harvested wood can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USA.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approximately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and the principles are likely to apply to all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in wood in the shade of other trees; iii)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a potential vector of pine wood nematode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phytosanitary measures specific to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(EPPO, 2018).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vectors on wood. One method of safely obtaining host wood is to source if from pest free areas. Wood can also be treated to kill any pests that are present within it and / or prevent it becoming infested. The following treatments are recommended: heat treatment according to EPPO Standard PM 10/6: Heat treatment of wood to control insects and wood-borne nematodes (EPPO, 2009); treating with ionizing radiation according to EPPO Standard 10/8: Disinfestation of wood with ionizing radiation (EPPO, 2009) or appropriate fumigation with details specified on the phytosanitary certificate (EPPO, 2018).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Regulation of wood packaging material in international trade (IPPC, 2019)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(1991) Checklist of beetles of Canada and Alaska. Agriculture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 s. scutellatus</w:t>
      </w:r>
      <w:r>
        <w:rPr>
          <w:rFonts w:ascii="Calibri" w:hAnsi="Calibri" w:eastAsia="Calibri" w:cs="Calibri"/>
          <w:color w:val="000000"/>
          <w:sz w:val="22"/>
          <w:szCs w:val="22"/>
        </w:rPr>
        <w:t xml:space="preserve">, and associated woodborers to pheromones of some Ips and Dendroctonus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Rome.</w:t>
      </w:r>
    </w:p>
    <w:p>
      <w:pPr>
        <w:widowControl w:val="on"/>
        <w:pBdr/>
        <w:spacing w:before="220" w:after="220" w:line="240" w:lineRule="auto"/>
        <w:ind w:left="0" w:right="0"/>
        <w:jc w:val="left"/>
      </w:pPr>
      <w:r>
        <w:rPr>
          <w:rFonts w:ascii="Calibri" w:hAnsi="Calibri" w:eastAsia="Calibri" w:cs="Calibri"/>
          <w:color w:val="000000"/>
          <w:sz w:val="22"/>
          <w:szCs w:val="22"/>
        </w:rPr>
        <w:t xml:space="preserve">Junk W (1921) </w:t>
      </w:r>
      <w:r>
        <w:rPr>
          <w:rFonts w:ascii="Calibri" w:hAnsi="Calibri" w:eastAsia="Calibri" w:cs="Calibri"/>
          <w:i/>
          <w:iCs/>
          <w:color w:val="000000"/>
          <w:sz w:val="22"/>
          <w:szCs w:val="22"/>
        </w:rPr>
        <w:t xml:space="preserve">Coleopterorum Catalogus</w:t>
      </w:r>
      <w:r>
        <w:rPr>
          <w:rFonts w:ascii="Calibri" w:hAnsi="Calibri" w:eastAsia="Calibri" w:cs="Calibri"/>
          <w:color w:val="000000"/>
          <w:sz w:val="22"/>
          <w:szCs w:val="22"/>
        </w:rPr>
        <w:t xml:space="preserve">, Berlin.</w:t>
      </w:r>
    </w:p>
    <w:p>
      <w:pPr>
        <w:widowControl w:val="on"/>
        <w:pBdr/>
        <w:spacing w:before="220" w:after="220" w:line="240" w:lineRule="auto"/>
        <w:ind w:left="0" w:right="0"/>
        <w:jc w:val="left"/>
      </w:pPr>
      <w:r>
        <w:rPr>
          <w:rFonts w:ascii="Calibri" w:hAnsi="Calibri" w:eastAsia="Calibri" w:cs="Calibri"/>
          <w:color w:val="000000"/>
          <w:sz w:val="22"/>
          <w:szCs w:val="22"/>
        </w:rPr>
        <w:t xml:space="preserve">Keen FP (1952) Insect enemies of western forests. pp. 273.</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Lindquist EE &amp; Wu KW (1991) Review of mites of the genus </w:t>
      </w:r>
      <w:r>
        <w:rPr>
          <w:rFonts w:ascii="Calibri" w:hAnsi="Calibri" w:eastAsia="Calibri" w:cs="Calibri"/>
          <w:i/>
          <w:iCs/>
          <w:color w:val="000000"/>
          <w:sz w:val="22"/>
          <w:szCs w:val="22"/>
        </w:rPr>
        <w:t xml:space="preserve">Mucroseius</w:t>
      </w:r>
      <w:r>
        <w:rPr>
          <w:rFonts w:ascii="Calibri" w:hAnsi="Calibri" w:eastAsia="Calibri" w:cs="Calibri"/>
          <w:color w:val="000000"/>
          <w:sz w:val="22"/>
          <w:szCs w:val="22"/>
        </w:rPr>
        <w:t xml:space="preserve"> (Acari, Mesostigmata, Ascidae) associated with sawyer beetles (Cerambycidae,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Mecynippus</w:t>
      </w:r>
      <w:r>
        <w:rPr>
          <w:rFonts w:ascii="Calibri" w:hAnsi="Calibri" w:eastAsia="Calibri" w:cs="Calibri"/>
          <w:color w:val="000000"/>
          <w:sz w:val="22"/>
          <w:szCs w:val="22"/>
        </w:rPr>
        <w:t xml:space="preserve">) and pine wood nematodes Aphelenchoididae,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And Buhrer) Nickle , with descriptions of 6 new species from Japan and North-America, and notes on their previous misidentification.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875-927.</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maculosus</w:t>
      </w:r>
      <w:r>
        <w:rPr>
          <w:rFonts w:ascii="Calibri" w:hAnsi="Calibri" w:eastAsia="Calibri" w:cs="Calibri"/>
          <w:color w:val="000000"/>
          <w:sz w:val="22"/>
          <w:szCs w:val="22"/>
        </w:rPr>
        <w:t xml:space="preserve">. EPPO datasheets on pests recommended for regulation. Available online. </w:t>
      </w:r>
      <w:hyperlink r:id="rId881368049b548624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0869248" name="name521568049b548631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9268049b548631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5645725">
    <w:multiLevelType w:val="hybridMultilevel"/>
    <w:lvl w:ilvl="0" w:tplc="85713783">
      <w:start w:val="1"/>
      <w:numFmt w:val="decimal"/>
      <w:lvlText w:val="%1."/>
      <w:lvlJc w:val="left"/>
      <w:pPr>
        <w:ind w:left="720" w:hanging="360"/>
      </w:pPr>
    </w:lvl>
    <w:lvl w:ilvl="1" w:tplc="85713783" w:tentative="1">
      <w:start w:val="1"/>
      <w:numFmt w:val="lowerLetter"/>
      <w:lvlText w:val="%2."/>
      <w:lvlJc w:val="left"/>
      <w:pPr>
        <w:ind w:left="1440" w:hanging="360"/>
      </w:pPr>
    </w:lvl>
    <w:lvl w:ilvl="2" w:tplc="85713783" w:tentative="1">
      <w:start w:val="1"/>
      <w:numFmt w:val="lowerRoman"/>
      <w:lvlText w:val="%3."/>
      <w:lvlJc w:val="right"/>
      <w:pPr>
        <w:ind w:left="2160" w:hanging="180"/>
      </w:pPr>
    </w:lvl>
    <w:lvl w:ilvl="3" w:tplc="85713783" w:tentative="1">
      <w:start w:val="1"/>
      <w:numFmt w:val="decimal"/>
      <w:lvlText w:val="%4."/>
      <w:lvlJc w:val="left"/>
      <w:pPr>
        <w:ind w:left="2880" w:hanging="360"/>
      </w:pPr>
    </w:lvl>
    <w:lvl w:ilvl="4" w:tplc="85713783" w:tentative="1">
      <w:start w:val="1"/>
      <w:numFmt w:val="lowerLetter"/>
      <w:lvlText w:val="%5."/>
      <w:lvlJc w:val="left"/>
      <w:pPr>
        <w:ind w:left="3600" w:hanging="360"/>
      </w:pPr>
    </w:lvl>
    <w:lvl w:ilvl="5" w:tplc="85713783" w:tentative="1">
      <w:start w:val="1"/>
      <w:numFmt w:val="lowerRoman"/>
      <w:lvlText w:val="%6."/>
      <w:lvlJc w:val="right"/>
      <w:pPr>
        <w:ind w:left="4320" w:hanging="180"/>
      </w:pPr>
    </w:lvl>
    <w:lvl w:ilvl="6" w:tplc="85713783" w:tentative="1">
      <w:start w:val="1"/>
      <w:numFmt w:val="decimal"/>
      <w:lvlText w:val="%7."/>
      <w:lvlJc w:val="left"/>
      <w:pPr>
        <w:ind w:left="5040" w:hanging="360"/>
      </w:pPr>
    </w:lvl>
    <w:lvl w:ilvl="7" w:tplc="85713783" w:tentative="1">
      <w:start w:val="1"/>
      <w:numFmt w:val="lowerLetter"/>
      <w:lvlText w:val="%8."/>
      <w:lvlJc w:val="left"/>
      <w:pPr>
        <w:ind w:left="5760" w:hanging="360"/>
      </w:pPr>
    </w:lvl>
    <w:lvl w:ilvl="8" w:tplc="85713783" w:tentative="1">
      <w:start w:val="1"/>
      <w:numFmt w:val="lowerRoman"/>
      <w:lvlText w:val="%9."/>
      <w:lvlJc w:val="right"/>
      <w:pPr>
        <w:ind w:left="6480" w:hanging="180"/>
      </w:pPr>
    </w:lvl>
  </w:abstractNum>
  <w:abstractNum w:abstractNumId="71157995">
    <w:multiLevelType w:val="hybridMultilevel"/>
    <w:lvl w:ilvl="0" w:tplc="89301841">
      <w:start w:val="1"/>
      <w:numFmt w:val="decimal"/>
      <w:lvlText w:val="%1."/>
      <w:lvlJc w:val="left"/>
      <w:pPr>
        <w:ind w:left="720" w:hanging="360"/>
      </w:pPr>
    </w:lvl>
    <w:lvl w:ilvl="1" w:tplc="89301841" w:tentative="1">
      <w:start w:val="1"/>
      <w:numFmt w:val="lowerLetter"/>
      <w:lvlText w:val="%2."/>
      <w:lvlJc w:val="left"/>
      <w:pPr>
        <w:ind w:left="1440" w:hanging="360"/>
      </w:pPr>
    </w:lvl>
    <w:lvl w:ilvl="2" w:tplc="89301841" w:tentative="1">
      <w:start w:val="1"/>
      <w:numFmt w:val="lowerRoman"/>
      <w:lvlText w:val="%3."/>
      <w:lvlJc w:val="right"/>
      <w:pPr>
        <w:ind w:left="2160" w:hanging="180"/>
      </w:pPr>
    </w:lvl>
    <w:lvl w:ilvl="3" w:tplc="89301841" w:tentative="1">
      <w:start w:val="1"/>
      <w:numFmt w:val="decimal"/>
      <w:lvlText w:val="%4."/>
      <w:lvlJc w:val="left"/>
      <w:pPr>
        <w:ind w:left="2880" w:hanging="360"/>
      </w:pPr>
    </w:lvl>
    <w:lvl w:ilvl="4" w:tplc="89301841" w:tentative="1">
      <w:start w:val="1"/>
      <w:numFmt w:val="lowerLetter"/>
      <w:lvlText w:val="%5."/>
      <w:lvlJc w:val="left"/>
      <w:pPr>
        <w:ind w:left="3600" w:hanging="360"/>
      </w:pPr>
    </w:lvl>
    <w:lvl w:ilvl="5" w:tplc="89301841" w:tentative="1">
      <w:start w:val="1"/>
      <w:numFmt w:val="lowerRoman"/>
      <w:lvlText w:val="%6."/>
      <w:lvlJc w:val="right"/>
      <w:pPr>
        <w:ind w:left="4320" w:hanging="180"/>
      </w:pPr>
    </w:lvl>
    <w:lvl w:ilvl="6" w:tplc="89301841" w:tentative="1">
      <w:start w:val="1"/>
      <w:numFmt w:val="decimal"/>
      <w:lvlText w:val="%7."/>
      <w:lvlJc w:val="left"/>
      <w:pPr>
        <w:ind w:left="5040" w:hanging="360"/>
      </w:pPr>
    </w:lvl>
    <w:lvl w:ilvl="7" w:tplc="89301841" w:tentative="1">
      <w:start w:val="1"/>
      <w:numFmt w:val="lowerLetter"/>
      <w:lvlText w:val="%8."/>
      <w:lvlJc w:val="left"/>
      <w:pPr>
        <w:ind w:left="5760" w:hanging="360"/>
      </w:pPr>
    </w:lvl>
    <w:lvl w:ilvl="8" w:tplc="89301841" w:tentative="1">
      <w:start w:val="1"/>
      <w:numFmt w:val="lowerRoman"/>
      <w:lvlText w:val="%9."/>
      <w:lvlJc w:val="right"/>
      <w:pPr>
        <w:ind w:left="6480" w:hanging="180"/>
      </w:pPr>
    </w:lvl>
  </w:abstractNum>
  <w:abstractNum w:abstractNumId="71157994">
    <w:multiLevelType w:val="hybridMultilevel"/>
    <w:lvl w:ilvl="0" w:tplc="341134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157994">
    <w:abstractNumId w:val="71157994"/>
  </w:num>
  <w:num w:numId="71157995">
    <w:abstractNumId w:val="71157995"/>
  </w:num>
  <w:num w:numId="715645725">
    <w:abstractNumId w:val="7156457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7608292" Type="http://schemas.microsoft.com/office/2011/relationships/commentsExtended" Target="commentsExtended.xml"/><Relationship Id="rId700430116" Type="http://schemas.microsoft.com/office/2011/relationships/people" Target="people.xml"/><Relationship Id="rId429568049b5482c78" Type="http://schemas.openxmlformats.org/officeDocument/2006/relationships/hyperlink" Target="https://gd.eppo.int/taxon/MONCMC/" TargetMode="External"/><Relationship Id="rId295968049b5482cbc" Type="http://schemas.openxmlformats.org/officeDocument/2006/relationships/hyperlink" Target="https://gd.eppo.int/taxon/MONCMC/categorization" TargetMode="External"/><Relationship Id="rId903468049b54843a3" Type="http://schemas.openxmlformats.org/officeDocument/2006/relationships/hyperlink" Target="https://gd.eppo.int/taxon/BURSXY/datasheet" TargetMode="External"/><Relationship Id="rId881368049b5486242" Type="http://schemas.openxmlformats.org/officeDocument/2006/relationships/hyperlink" Target="https://gd.eppo.int" TargetMode="External"/><Relationship Id="rId209968049b5483f2f" Type="http://schemas.openxmlformats.org/officeDocument/2006/relationships/image" Target="media/imgrId209968049b5483f2f.jpg"/><Relationship Id="rId269268049b548631e" Type="http://schemas.openxmlformats.org/officeDocument/2006/relationships/image" Target="media/imgrId269268049b548631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