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notatus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notatus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Cerambyx notatus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Monochamus confusor</w:t>
            </w:r>
            <w:r>
              <w:rPr>
                <w:rFonts w:ascii="Calibri" w:hAnsi="Calibri" w:eastAsia="Calibri" w:cs="Calibri"/>
                <w:color w:val="000000"/>
                <w:position w:val="-3"/>
                <w:sz w:val="22"/>
                <w:szCs w:val="22"/>
              </w:rPr>
              <w:t xml:space="preserve"> Kirby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northeastern sawyer</w:t>
            </w:r>
            <w:hyperlink r:id="rId39706803a6f06217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2246803a6f0621c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MONCNO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448132" name="name63786803a6f062a06" descr="2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15.jpg"/>
                          <pic:cNvPicPr/>
                        </pic:nvPicPr>
                        <pic:blipFill>
                          <a:blip r:embed="rId87576803a6f062a04" cstate="print"/>
                          <a:stretch>
                            <a:fillRect/>
                          </a:stretch>
                        </pic:blipFill>
                        <pic:spPr>
                          <a:xfrm>
                            <a:off x="0" y="0"/>
                            <a:ext cx="2160000" cy="1281600"/>
                          </a:xfrm>
                          <a:prstGeom prst="rect">
                            <a:avLst/>
                          </a:prstGeom>
                          <a:ln w="0">
                            <a:noFill/>
                          </a:ln>
                        </pic:spPr>
                      </pic:pic>
                    </a:graphicData>
                  </a:graphic>
                </wp:inline>
              </w:drawing>
            </w:r>
            <w:hyperlink r:id="rId81486803a6f062b3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was first described by Dru Drury in 1773, originally as part of the genus</w:t>
      </w:r>
      <w:r>
        <w:rPr>
          <w:rFonts w:ascii="Calibri" w:hAnsi="Calibri" w:eastAsia="Calibri" w:cs="Calibri"/>
          <w:i/>
          <w:iCs/>
          <w:color w:val="000000"/>
          <w:sz w:val="22"/>
          <w:szCs w:val="22"/>
        </w:rPr>
        <w:t xml:space="preserve"> Cerambyx. </w:t>
      </w:r>
      <w:r>
        <w:rPr>
          <w:rFonts w:ascii="Calibri" w:hAnsi="Calibri" w:eastAsia="Calibri" w:cs="Calibri"/>
          <w:color w:val="000000"/>
          <w:sz w:val="22"/>
          <w:szCs w:val="22"/>
        </w:rPr>
        <w:t xml:space="preserve">The species was renamed as </w:t>
      </w:r>
      <w:r>
        <w:rPr>
          <w:rFonts w:ascii="Calibri" w:hAnsi="Calibri" w:eastAsia="Calibri" w:cs="Calibri"/>
          <w:i/>
          <w:iCs/>
          <w:color w:val="000000"/>
          <w:sz w:val="22"/>
          <w:szCs w:val="22"/>
        </w:rPr>
        <w:t xml:space="preserve">Monohammus notatus</w:t>
      </w:r>
      <w:r>
        <w:rPr>
          <w:rFonts w:ascii="Calibri" w:hAnsi="Calibri" w:eastAsia="Calibri" w:cs="Calibri"/>
          <w:color w:val="000000"/>
          <w:sz w:val="22"/>
          <w:szCs w:val="22"/>
        </w:rPr>
        <w:t xml:space="preserve"> by Fitch in 1859 and </w:t>
      </w: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by Casey in 1913 (Linsley &amp;  Chemsak, 1984).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breeds in dead and dying </w:t>
      </w:r>
      <w:r>
        <w:rPr>
          <w:rFonts w:ascii="Calibri" w:hAnsi="Calibri" w:eastAsia="Calibri" w:cs="Calibri"/>
          <w:i/>
          <w:iCs/>
          <w:color w:val="000000"/>
          <w:sz w:val="22"/>
          <w:szCs w:val="22"/>
        </w:rPr>
        <w:t xml:space="preserve">Pinus strobus </w:t>
      </w:r>
      <w:r>
        <w:rPr>
          <w:rFonts w:ascii="Calibri" w:hAnsi="Calibri" w:eastAsia="Calibri" w:cs="Calibri"/>
          <w:color w:val="000000"/>
          <w:sz w:val="22"/>
          <w:szCs w:val="22"/>
        </w:rPr>
        <w:t xml:space="preserve">(white pine) and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(balsam fir) and in windthrown </w:t>
      </w:r>
      <w:r>
        <w:rPr>
          <w:rFonts w:ascii="Calibri" w:hAnsi="Calibri" w:eastAsia="Calibri" w:cs="Calibri"/>
          <w:i/>
          <w:iCs/>
          <w:color w:val="000000"/>
          <w:sz w:val="22"/>
          <w:szCs w:val="22"/>
        </w:rPr>
        <w:t xml:space="preserve">Picea rubens </w:t>
      </w:r>
      <w:r>
        <w:rPr>
          <w:rFonts w:ascii="Calibri" w:hAnsi="Calibri" w:eastAsia="Calibri" w:cs="Calibri"/>
          <w:color w:val="000000"/>
          <w:sz w:val="22"/>
          <w:szCs w:val="22"/>
        </w:rPr>
        <w:t xml:space="preserve">(red spruce) (Baker, 1972). It has been recorded from four genera of conifers. Of the named host species, </w:t>
      </w:r>
      <w:r>
        <w:rPr>
          <w:rFonts w:ascii="Calibri" w:hAnsi="Calibri" w:eastAsia="Calibri" w:cs="Calibri"/>
          <w:i/>
          <w:iCs/>
          <w:color w:val="000000"/>
          <w:sz w:val="22"/>
          <w:szCs w:val="22"/>
        </w:rPr>
        <w:t xml:space="preserve">P. strobus </w:t>
      </w:r>
      <w:r>
        <w:rPr>
          <w:rFonts w:ascii="Calibri" w:hAnsi="Calibri" w:eastAsia="Calibri" w:cs="Calibri"/>
          <w:color w:val="000000"/>
          <w:sz w:val="22"/>
          <w:szCs w:val="22"/>
        </w:rPr>
        <w:t xml:space="preserve">is planted as a timber tree in Europe, </w:t>
      </w:r>
      <w:r>
        <w:rPr>
          <w:rFonts w:ascii="Calibri" w:hAnsi="Calibri" w:eastAsia="Calibri" w:cs="Calibri"/>
          <w:i/>
          <w:iCs/>
          <w:color w:val="000000"/>
          <w:sz w:val="22"/>
          <w:szCs w:val="22"/>
        </w:rPr>
        <w:t xml:space="preserve">Picea glauca </w:t>
      </w:r>
      <w:r>
        <w:rPr>
          <w:rFonts w:ascii="Calibri" w:hAnsi="Calibri" w:eastAsia="Calibri" w:cs="Calibri"/>
          <w:color w:val="000000"/>
          <w:sz w:val="22"/>
          <w:szCs w:val="22"/>
        </w:rPr>
        <w:t xml:space="preserve">is planted in some northern European countries and </w:t>
      </w:r>
      <w:r>
        <w:rPr>
          <w:rFonts w:ascii="Calibri" w:hAnsi="Calibri" w:eastAsia="Calibri" w:cs="Calibri"/>
          <w:i/>
          <w:iCs/>
          <w:color w:val="000000"/>
          <w:sz w:val="22"/>
          <w:szCs w:val="22"/>
        </w:rPr>
        <w:t xml:space="preserve">Picea menziesii </w:t>
      </w:r>
      <w:r>
        <w:rPr>
          <w:rFonts w:ascii="Calibri" w:hAnsi="Calibri" w:eastAsia="Calibri" w:cs="Calibri"/>
          <w:color w:val="000000"/>
          <w:sz w:val="22"/>
          <w:szCs w:val="22"/>
        </w:rPr>
        <w:t xml:space="preserve">is planted worldwide as a timber tree, other hosts are non-native species that are not widely planted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occurs in Eastern Canada and in the North-Eastern United States, westward to the Great Lakes region (Baker, 1972). Compared to other N. American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it has a relatively broad distribution being recorded from 22 US states and 11 Canadian provinces.  It is not known to have spread outside its native range.</w:t>
      </w:r>
    </w:p>
    <w:p>
      <w:r>
        <w:drawing>
          <wp:inline distT="0" distB="0" distL="0" distR="0">
            <wp:extent cx="6120000" cy="3067200"/>
            <wp:docPr id="26151611" name="name72186803a6f063b43" descr="MONCN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NO_distribution_map.jpg"/>
                    <pic:cNvPicPr/>
                  </pic:nvPicPr>
                  <pic:blipFill>
                    <a:blip r:embed="rId52616803a6f063b4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United States of America (Connecticut, District of Columbia, Georgia, Idaho, Illinois, Maine, Maryland, Massachusetts, Michigan, Minnesota, Montana, Nebraska, New Hampshire, New Jersey, New York, North Carolina, Ohio, Oklahoma, Pennsylvania, Rhode Island, South Carolina, Tennessee,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North-Eastern United States,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begin to emerge in late June and continue to emerge until mid-August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Hodgson, 1957).</w:t>
      </w:r>
    </w:p>
    <w:p>
      <w:pPr>
        <w:widowControl w:val="on"/>
        <w:pBdr/>
        <w:spacing w:before="220" w:after="220" w:line="240" w:lineRule="auto"/>
        <w:ind w:left="0" w:right="0"/>
        <w:jc w:val="both"/>
      </w:pPr>
      <w:r>
        <w:rPr>
          <w:rFonts w:ascii="Calibri" w:hAnsi="Calibri" w:eastAsia="Calibri" w:cs="Calibri"/>
          <w:color w:val="000000"/>
          <w:sz w:val="22"/>
          <w:szCs w:val="22"/>
        </w:rPr>
        <w:t xml:space="preserve">This paragraph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dying trees or trees that recently died are preferred. Young larvae feed on the inner bark, cambium and outer sapwood, forming shallow excavations called surface galleries and filling them with coarse fibrous borings and frass. As the larvae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 mm long (Baker, 1972). 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to reach sexual maturity. This phase is obligatory before mating and subsequent oviposition. There is a wide between- and within-species variation in adult longevity, from approximately 1 to 5 months (EFSA, 2018). Generally, the life cycle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North America is two years although in some years it can be just one year. Because of the overlapping generations,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0" w:after="0" w:line="240" w:lineRule="auto"/>
        <w:ind w:left="0" w:right="0"/>
        <w:jc w:val="both"/>
      </w:pP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is considered to be a vector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(EFSA, 2018). Bergdahl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from two locations in Vermont and sampled them for nematodes. The proportion of beetles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similar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(51%) 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(56%), but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carried many more nematodes per beetle (mean 5450) than the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(595).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72294036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72294036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72294036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72294036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72294036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are noted to be dark brown and the head and pronotum are irregularly clothed with fine white hairs. The elytra are covered with fine grey and white hairs arranged in the form of interrupted stripes. The female head is greatly flattened and elongated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key to North American Cerambycidae in the subfamily Lamiinae, tribes Parmeninie through to Acanthoderini and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included in this. The key includes description of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Male: </w:t>
      </w:r>
      <w:r>
        <w:rPr>
          <w:rFonts w:ascii="Calibri" w:hAnsi="Calibri" w:eastAsia="Calibri" w:cs="Calibri"/>
          <w:color w:val="000000"/>
          <w:sz w:val="22"/>
          <w:szCs w:val="22"/>
        </w:rPr>
        <w:t xml:space="preserve">Form large, tapering posteriorly, integument reddish-piceous, elytra and outer antennal segments usually dark reddish-brown; pubescence recumbent, mostly greyish with small brown patches sparsely interspersed on elytra. Head with front convex, shallowly, irregularly punctate, irregularly clothed with white recumbent pubescence; genae longer than lower eye lobe, parallel; antennae extending about six segments beyond elytra, segments minutely aspirate, segments three to nine with apical sensory areas, scape rather densely pubescent, remaining segments rather sparsely clothed with very short recumbent pubescence, eleventh segment arcuate. Pronotum as long as broad, lateral tubercles prominent, rounded at apices; apex and base broadly impressed; disk with a median callus and a broad swelling on each side; punctures fine, irregular, sparse around median callus, remainder almost impunctate; pubescence whitish, irregular, recumbent, denser around lateral tubercles; prosternum rugulose, rather densely pubescent; meso- and metasternum irregularly punctate at sides, densely nonuniformly pubescent, long, suberect hairs numerous. Elytra less than 2.5 times as long as broad; base with scattered, small, rounded asperites, denser on humeri; punctures behind small, rather sparse, becoming obsolete toward apex; pubescence recumbent, mostly grey, mottled, with a few small patches of brown interspersed. Abdomen densely, irregularly pubescent, finely punctate; last sternite subtruncate at apex, often shallowly emarginate at middle, sides with a few long, erect hairs. Length 23-35mm.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Female</w:t>
      </w:r>
      <w:r>
        <w:rPr>
          <w:rFonts w:ascii="Calibri" w:hAnsi="Calibri" w:eastAsia="Calibri" w:cs="Calibri"/>
          <w:color w:val="000000"/>
          <w:sz w:val="22"/>
          <w:szCs w:val="22"/>
        </w:rPr>
        <w:t xml:space="preserve">: Form more robust, parallel. Head with front flat, broad, genae divergent; antennal tubercles much less prominent, more divergent; antennae extending about two segments beyond elytra. Abdomen with last sternite emarginate at apex, each side with large tufts of black hairs. Length 24-35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Ontario. A combination of ipsenol and α-pinene was significantly more attractive to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than unbaited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2018,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about the impacts of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occurred in a new dwelling in Ottawa (Campbell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MacNay, 1948) and </w:t>
      </w:r>
      <w:r>
        <w:rPr>
          <w:rFonts w:ascii="Calibri" w:hAnsi="Calibri" w:eastAsia="Calibri" w:cs="Calibri"/>
          <w:i/>
          <w:iCs/>
          <w:color w:val="000000"/>
          <w:sz w:val="22"/>
          <w:szCs w:val="22"/>
        </w:rPr>
        <w:t xml:space="preserve">M. notatus, M. marmorator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trapped in Christmas tree plantations in Nova Scotia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cause damage to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salvage and utilization of windthrow and dead and dying trees, debarking recently dead trees, and water storage of logs will prevent attacks by this species’ (Baker, 1972, Duffy, 1960,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has been shown to be a vector of pine wood nematode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 Halik S, Tomminen J &amp; Akar H (1991) Frequency of infestation of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120.          </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SE, Bishop C &amp; Sweeney J (2017) Incidence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(Coleoptera: Cerambycidae) species in Nova Scotia, Canada Christmas tree plantations and comparison of panel traps and lures from North America and Europe.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191-203.</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DB (1989) </w:t>
      </w:r>
      <w:r>
        <w:rPr>
          <w:rFonts w:ascii="Calibri" w:hAnsi="Calibri" w:eastAsia="Calibri" w:cs="Calibri"/>
          <w:i/>
          <w:iCs/>
          <w:color w:val="000000"/>
          <w:sz w:val="22"/>
          <w:szCs w:val="22"/>
        </w:rPr>
        <w:t xml:space="preserve">Canadian beetles (Coleoptera) injurous to crops, ornamentals, stored products, and buildings</w:t>
      </w:r>
      <w:r>
        <w:rPr>
          <w:rFonts w:ascii="Calibri" w:hAnsi="Calibri" w:eastAsia="Calibri" w:cs="Calibri"/>
          <w:color w:val="000000"/>
          <w:sz w:val="22"/>
          <w:szCs w:val="22"/>
        </w:rPr>
        <w:t xml:space="preserve">. Canadian government publishing centre,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 s. scutellatus</w:t>
      </w:r>
      <w:r>
        <w:rPr>
          <w:rFonts w:ascii="Calibri" w:hAnsi="Calibri" w:eastAsia="Calibri" w:cs="Calibri"/>
          <w:color w:val="000000"/>
          <w:sz w:val="22"/>
          <w:szCs w:val="22"/>
        </w:rPr>
        <w:t xml:space="preserve">, and associated woodborers to pheromones of some Ips and Dendroctonus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(1960) </w:t>
      </w:r>
      <w:r>
        <w:rPr>
          <w:rFonts w:ascii="Calibri" w:hAnsi="Calibri" w:eastAsia="Calibri" w:cs="Calibri"/>
          <w:i/>
          <w:iCs/>
          <w:color w:val="000000"/>
          <w:sz w:val="22"/>
          <w:szCs w:val="22"/>
        </w:rPr>
        <w:t xml:space="preserve">A monograph of the immature stages of neotropical timber beetles</w:t>
      </w:r>
      <w:r>
        <w:rPr>
          <w:rFonts w:ascii="Calibri" w:hAnsi="Calibri" w:eastAsia="Calibri" w:cs="Calibri"/>
          <w:color w:val="000000"/>
          <w:sz w:val="22"/>
          <w:szCs w:val="22"/>
        </w:rPr>
        <w:t xml:space="preserv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11596803a6f065d49"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RL (1957) A life history study of the Northeastern sawyer beetle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(Drury). University of Maine, Orono.</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MacNay CG (1948) Summary of the more important insect infestations and occurences in Canada in 1948. </w:t>
      </w:r>
      <w:r>
        <w:rPr>
          <w:rFonts w:ascii="Calibri" w:hAnsi="Calibri" w:eastAsia="Calibri" w:cs="Calibri"/>
          <w:i/>
          <w:iCs/>
          <w:color w:val="000000"/>
          <w:sz w:val="22"/>
          <w:szCs w:val="22"/>
        </w:rPr>
        <w:t xml:space="preserve">Annual Report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71-89.</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Monochamus in Lodgepole Pine Logs1.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Webb J (1909) </w:t>
      </w:r>
      <w:r>
        <w:rPr>
          <w:rFonts w:ascii="Calibri" w:hAnsi="Calibri" w:eastAsia="Calibri" w:cs="Calibri"/>
          <w:i/>
          <w:iCs/>
          <w:color w:val="000000"/>
          <w:sz w:val="22"/>
          <w:szCs w:val="22"/>
        </w:rPr>
        <w:t xml:space="preserve">The southern pine sawyer</w:t>
      </w:r>
      <w:r>
        <w:rPr>
          <w:rFonts w:ascii="Calibri" w:hAnsi="Calibri" w:eastAsia="Calibri" w:cs="Calibri"/>
          <w:color w:val="000000"/>
          <w:sz w:val="22"/>
          <w:szCs w:val="22"/>
        </w:rPr>
        <w:t xml:space="preserve">. US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EPPO datasheets on pests recommended for regulation. Available online. </w:t>
      </w:r>
      <w:hyperlink r:id="rId26236803a6f06638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6819850" name="name44796803a6f06643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186803a6f06643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2940364">
    <w:multiLevelType w:val="hybridMultilevel"/>
    <w:lvl w:ilvl="0" w:tplc="37120130">
      <w:start w:val="1"/>
      <w:numFmt w:val="decimal"/>
      <w:lvlText w:val="%1."/>
      <w:lvlJc w:val="left"/>
      <w:pPr>
        <w:ind w:left="720" w:hanging="360"/>
      </w:pPr>
    </w:lvl>
    <w:lvl w:ilvl="1" w:tplc="37120130" w:tentative="1">
      <w:start w:val="1"/>
      <w:numFmt w:val="lowerLetter"/>
      <w:lvlText w:val="%2."/>
      <w:lvlJc w:val="left"/>
      <w:pPr>
        <w:ind w:left="1440" w:hanging="360"/>
      </w:pPr>
    </w:lvl>
    <w:lvl w:ilvl="2" w:tplc="37120130" w:tentative="1">
      <w:start w:val="1"/>
      <w:numFmt w:val="lowerRoman"/>
      <w:lvlText w:val="%3."/>
      <w:lvlJc w:val="right"/>
      <w:pPr>
        <w:ind w:left="2160" w:hanging="180"/>
      </w:pPr>
    </w:lvl>
    <w:lvl w:ilvl="3" w:tplc="37120130" w:tentative="1">
      <w:start w:val="1"/>
      <w:numFmt w:val="decimal"/>
      <w:lvlText w:val="%4."/>
      <w:lvlJc w:val="left"/>
      <w:pPr>
        <w:ind w:left="2880" w:hanging="360"/>
      </w:pPr>
    </w:lvl>
    <w:lvl w:ilvl="4" w:tplc="37120130" w:tentative="1">
      <w:start w:val="1"/>
      <w:numFmt w:val="lowerLetter"/>
      <w:lvlText w:val="%5."/>
      <w:lvlJc w:val="left"/>
      <w:pPr>
        <w:ind w:left="3600" w:hanging="360"/>
      </w:pPr>
    </w:lvl>
    <w:lvl w:ilvl="5" w:tplc="37120130" w:tentative="1">
      <w:start w:val="1"/>
      <w:numFmt w:val="lowerRoman"/>
      <w:lvlText w:val="%6."/>
      <w:lvlJc w:val="right"/>
      <w:pPr>
        <w:ind w:left="4320" w:hanging="180"/>
      </w:pPr>
    </w:lvl>
    <w:lvl w:ilvl="6" w:tplc="37120130" w:tentative="1">
      <w:start w:val="1"/>
      <w:numFmt w:val="decimal"/>
      <w:lvlText w:val="%7."/>
      <w:lvlJc w:val="left"/>
      <w:pPr>
        <w:ind w:left="5040" w:hanging="360"/>
      </w:pPr>
    </w:lvl>
    <w:lvl w:ilvl="7" w:tplc="37120130" w:tentative="1">
      <w:start w:val="1"/>
      <w:numFmt w:val="lowerLetter"/>
      <w:lvlText w:val="%8."/>
      <w:lvlJc w:val="left"/>
      <w:pPr>
        <w:ind w:left="5760" w:hanging="360"/>
      </w:pPr>
    </w:lvl>
    <w:lvl w:ilvl="8" w:tplc="37120130" w:tentative="1">
      <w:start w:val="1"/>
      <w:numFmt w:val="lowerRoman"/>
      <w:lvlText w:val="%9."/>
      <w:lvlJc w:val="right"/>
      <w:pPr>
        <w:ind w:left="6480" w:hanging="180"/>
      </w:pPr>
    </w:lvl>
  </w:abstractNum>
  <w:abstractNum w:abstractNumId="42466409">
    <w:multiLevelType w:val="hybridMultilevel"/>
    <w:lvl w:ilvl="0" w:tplc="64788536">
      <w:start w:val="1"/>
      <w:numFmt w:val="decimal"/>
      <w:lvlText w:val="%1."/>
      <w:lvlJc w:val="left"/>
      <w:pPr>
        <w:ind w:left="720" w:hanging="360"/>
      </w:pPr>
    </w:lvl>
    <w:lvl w:ilvl="1" w:tplc="64788536" w:tentative="1">
      <w:start w:val="1"/>
      <w:numFmt w:val="lowerLetter"/>
      <w:lvlText w:val="%2."/>
      <w:lvlJc w:val="left"/>
      <w:pPr>
        <w:ind w:left="1440" w:hanging="360"/>
      </w:pPr>
    </w:lvl>
    <w:lvl w:ilvl="2" w:tplc="64788536" w:tentative="1">
      <w:start w:val="1"/>
      <w:numFmt w:val="lowerRoman"/>
      <w:lvlText w:val="%3."/>
      <w:lvlJc w:val="right"/>
      <w:pPr>
        <w:ind w:left="2160" w:hanging="180"/>
      </w:pPr>
    </w:lvl>
    <w:lvl w:ilvl="3" w:tplc="64788536" w:tentative="1">
      <w:start w:val="1"/>
      <w:numFmt w:val="decimal"/>
      <w:lvlText w:val="%4."/>
      <w:lvlJc w:val="left"/>
      <w:pPr>
        <w:ind w:left="2880" w:hanging="360"/>
      </w:pPr>
    </w:lvl>
    <w:lvl w:ilvl="4" w:tplc="64788536" w:tentative="1">
      <w:start w:val="1"/>
      <w:numFmt w:val="lowerLetter"/>
      <w:lvlText w:val="%5."/>
      <w:lvlJc w:val="left"/>
      <w:pPr>
        <w:ind w:left="3600" w:hanging="360"/>
      </w:pPr>
    </w:lvl>
    <w:lvl w:ilvl="5" w:tplc="64788536" w:tentative="1">
      <w:start w:val="1"/>
      <w:numFmt w:val="lowerRoman"/>
      <w:lvlText w:val="%6."/>
      <w:lvlJc w:val="right"/>
      <w:pPr>
        <w:ind w:left="4320" w:hanging="180"/>
      </w:pPr>
    </w:lvl>
    <w:lvl w:ilvl="6" w:tplc="64788536" w:tentative="1">
      <w:start w:val="1"/>
      <w:numFmt w:val="decimal"/>
      <w:lvlText w:val="%7."/>
      <w:lvlJc w:val="left"/>
      <w:pPr>
        <w:ind w:left="5040" w:hanging="360"/>
      </w:pPr>
    </w:lvl>
    <w:lvl w:ilvl="7" w:tplc="64788536" w:tentative="1">
      <w:start w:val="1"/>
      <w:numFmt w:val="lowerLetter"/>
      <w:lvlText w:val="%8."/>
      <w:lvlJc w:val="left"/>
      <w:pPr>
        <w:ind w:left="5760" w:hanging="360"/>
      </w:pPr>
    </w:lvl>
    <w:lvl w:ilvl="8" w:tplc="64788536" w:tentative="1">
      <w:start w:val="1"/>
      <w:numFmt w:val="lowerRoman"/>
      <w:lvlText w:val="%9."/>
      <w:lvlJc w:val="right"/>
      <w:pPr>
        <w:ind w:left="6480" w:hanging="180"/>
      </w:pPr>
    </w:lvl>
  </w:abstractNum>
  <w:abstractNum w:abstractNumId="42466408">
    <w:multiLevelType w:val="hybridMultilevel"/>
    <w:lvl w:ilvl="0" w:tplc="168646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466408">
    <w:abstractNumId w:val="42466408"/>
  </w:num>
  <w:num w:numId="42466409">
    <w:abstractNumId w:val="42466409"/>
  </w:num>
  <w:num w:numId="722940364">
    <w:abstractNumId w:val="7229403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6244920" Type="http://schemas.microsoft.com/office/2011/relationships/commentsExtended" Target="commentsExtended.xml"/><Relationship Id="rId286376002" Type="http://schemas.microsoft.com/office/2011/relationships/people" Target="people.xml"/><Relationship Id="rId39706803a6f06217e" Type="http://schemas.openxmlformats.org/officeDocument/2006/relationships/hyperlink" Target="https://gd.eppo.int/taxon/MONCNO/" TargetMode="External"/><Relationship Id="rId62246803a6f0621c8" Type="http://schemas.openxmlformats.org/officeDocument/2006/relationships/hyperlink" Target="https://gd.eppo.int/taxon/MONCNO/categorization" TargetMode="External"/><Relationship Id="rId81486803a6f062b3c" Type="http://schemas.openxmlformats.org/officeDocument/2006/relationships/hyperlink" Target="https://gd.eppo.int/taxon/MONCNO/photos" TargetMode="External"/><Relationship Id="rId11596803a6f065d49" Type="http://schemas.openxmlformats.org/officeDocument/2006/relationships/hyperlink" Target="https://www.fs.usda.gov/Internet/FSE_DOCUMENTS/stelprdb5187547.pdf" TargetMode="External"/><Relationship Id="rId26236803a6f06638d" Type="http://schemas.openxmlformats.org/officeDocument/2006/relationships/hyperlink" Target="https://gd.eppo.int" TargetMode="External"/><Relationship Id="rId87576803a6f062a04" Type="http://schemas.openxmlformats.org/officeDocument/2006/relationships/image" Target="media/imgrId87576803a6f062a04.jpg"/><Relationship Id="rId52616803a6f063b40" Type="http://schemas.openxmlformats.org/officeDocument/2006/relationships/image" Target="media/imgrId52616803a6f063b40.jpg"/><Relationship Id="rId39186803a6f06643b" Type="http://schemas.openxmlformats.org/officeDocument/2006/relationships/image" Target="media/imgrId39186803a6f06643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