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Myriophyllum heterophyllum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Myriophyllum heterophyllum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Michaux</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Saxifragales: Haloragaceae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broad-leaf water milfoil (US), variable water milfoil (US), variable-leaf water milfoil</w:t>
            </w:r>
            <w:hyperlink r:id="rId796267ce5f0f59e3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239867ce5f0f59ea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MYPHE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702899" name="name439767ce5f0f5a4ef" descr="2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70.jpg"/>
                          <pic:cNvPicPr/>
                        </pic:nvPicPr>
                        <pic:blipFill>
                          <a:blip r:embed="rId529367ce5f0f5a4ed" cstate="print"/>
                          <a:stretch>
                            <a:fillRect/>
                          </a:stretch>
                        </pic:blipFill>
                        <pic:spPr>
                          <a:xfrm>
                            <a:off x="0" y="0"/>
                            <a:ext cx="2160000" cy="1281600"/>
                          </a:xfrm>
                          <a:prstGeom prst="rect">
                            <a:avLst/>
                          </a:prstGeom>
                          <a:ln w="0">
                            <a:noFill/>
                          </a:ln>
                        </pic:spPr>
                      </pic:pic>
                    </a:graphicData>
                  </a:graphic>
                </wp:inline>
              </w:drawing>
            </w:r>
            <w:hyperlink r:id="rId616067ce5f0f5a60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It is generally regarded that in North America,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native to the Eastern United States with a distribution throughout the southern region, and in the north, westwards to North Dakota (ENSR International, 2005). The species is considered invasive in much of the north-east (New England region) (</w:t>
      </w:r>
      <w:hyperlink r:id="rId495967ce5f0f5a726" w:history="1">
        <w:r>
          <w:rPr>
            <w:rFonts w:ascii="Calibri" w:hAnsi="Calibri" w:eastAsia="Calibri" w:cs="Calibri"/>
            <w:color w:val="0000CC"/>
            <w:sz w:val="22"/>
            <w:szCs w:val="22"/>
            <w:u w:val="single"/>
          </w:rPr>
          <w:t xml:space="preserve">http://www.invasive.org/</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established in Austria, Belgium, France, Germany, Hungary, the Netherlands, Spain and Switzerland.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has not been recorded in the UK since 1969 (BSBI, 2012); efforts were made to confirm the absence in 2015. In Belgium, the species was first observed in 1993 (Bouxin &amp; Lambinon, 1996). The species appears to be established in several localities but does not seem to spread in an invasive way. Its current distribution is the Kempen region of Belgium (</w:t>
      </w:r>
      <w:hyperlink r:id="rId909267ce5f0f5a7ca" w:history="1">
        <w:r>
          <w:rPr>
            <w:rFonts w:ascii="Calibri" w:hAnsi="Calibri" w:eastAsia="Calibri" w:cs="Calibri"/>
            <w:color w:val="0000CC"/>
            <w:sz w:val="22"/>
            <w:szCs w:val="22"/>
            <w:u w:val="single"/>
          </w:rPr>
          <w:t xml:space="preserve">http://ias.biodiversity.be/</w:t>
        </w:r>
      </w:hyperlink>
      <w:r>
        <w:rPr>
          <w:rFonts w:ascii="Calibri" w:hAnsi="Calibri" w:eastAsia="Calibri" w:cs="Calibri"/>
          <w:color w:val="000000"/>
          <w:sz w:val="22"/>
          <w:szCs w:val="22"/>
        </w:rPr>
        <w:t xml:space="preserve">, 2015). In France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was found in 2011 in a large covered private pond in Saint-Sylvestre in the HauteVienne Department (Lebreton, 2013) and it is also known from the Landes, Rhone and Pyrénées-Atlantiques Departments (Lebreton, 2013)</w:t>
      </w:r>
      <w:r>
        <w:rPr>
          <w:rFonts w:ascii="Calibri" w:hAnsi="Calibri" w:eastAsia="Calibri" w:cs="Calibri"/>
          <w:i/>
          <w:iCs/>
          <w:color w:val="000000"/>
          <w:sz w:val="22"/>
          <w:szCs w:val="22"/>
        </w:rPr>
        <w:t xml:space="preserve">. M. heterophyllum</w:t>
      </w:r>
      <w:r>
        <w:rPr>
          <w:rFonts w:ascii="Calibri" w:hAnsi="Calibri" w:eastAsia="Calibri" w:cs="Calibri"/>
          <w:color w:val="000000"/>
          <w:sz w:val="22"/>
          <w:szCs w:val="22"/>
        </w:rPr>
        <w:t xml:space="preserve"> was found in East Germany in 1960s (Stricker, 1962) and it arrived in West Germany (Nordrhein-Westfalen) in 1979 (Spangehl &amp; Scharrenberg, 1985). In Germany there has been little spread but the current populations are stable and dominant within the submerged vegetation. The first record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Netherlands was in 1999 (van Valkenburg, 2011). In 2007,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was observed dominating a canal in Orvelte. In 2008, the plant was found in Loosdrecht and Maasbracht (an inland harbour). In 2010, it was recorded in Leeuwarden, again in urban canals. At present the species can be found throughout the south-east and central parts of the Netherlands (</w:t>
      </w:r>
      <w:hyperlink r:id="rId603467ce5f0f5a874" w:history="1">
        <w:r>
          <w:rPr>
            <w:rFonts w:ascii="Calibri" w:hAnsi="Calibri" w:eastAsia="Calibri" w:cs="Calibri"/>
            <w:color w:val="0000CC"/>
            <w:sz w:val="22"/>
            <w:szCs w:val="22"/>
            <w:u w:val="single"/>
          </w:rPr>
          <w:t xml:space="preserve">http://www.verspreidingsatlas.nl/5500</w:t>
        </w:r>
      </w:hyperlink>
      <w:r>
        <w:rPr>
          <w:rFonts w:ascii="Calibri" w:hAnsi="Calibri" w:eastAsia="Calibri" w:cs="Calibri"/>
          <w:color w:val="000000"/>
          <w:sz w:val="22"/>
          <w:szCs w:val="22"/>
        </w:rPr>
        <w:t xml:space="preserve">).</w:t>
      </w:r>
    </w:p>
    <w:p>
      <w:r>
        <w:drawing>
          <wp:inline distT="0" distB="0" distL="0" distR="0">
            <wp:extent cx="6120000" cy="3067200"/>
            <wp:docPr id="64826241" name="name173767ce5f0f5b3a2" descr="MYPH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PHE_distribution_map.jpg"/>
                    <pic:cNvPicPr/>
                  </pic:nvPicPr>
                  <pic:blipFill>
                    <a:blip r:embed="rId422867ce5f0f5b39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France (mainland), Germany, Netherlands, Spain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Ontario, Québec), Mexico, United States of America (Alabama, Arkansas, Connecticut, Delaware, Florida, Georgia, Illinois, Indiana, Iowa, Kansas, Kentucky, Louisiana, Maine, Maryland, Massachusetts, Michigan, Minnesota, Mississippi, Missouri, New Hampshire, New Mexico, New York, North Carolina, North Dakota, Ohio, Oklahoma, Pennsylvania, Rhode Island, South Dakota, Tennessee, Texas, Vermont,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 aquatic evergreen perennial (submerged species).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a perennial evergreen submerged aquatic herb, having both submerged and emergent leaf forms. Submerged leaves are feather-like and pinnate (2–5 cm long and 2–4 cm wide). Each leaf has 4– 10 pinnae. Emergent leaves can take two forms, either a terrestrial form (pinnately dissected), which is expressed when growing on damp mud, or an emergent leaf form (entire toothed) on a stem on which flowers are produced. Emergent leaves are variable in both shape and structure, 4–30 mm long, 1.5–3 mm wide and stiff in texture. Flowering is rarely observed throughout its native and invasive range (Global Invasive Species Database, 2011), but when it does flower, female flowers are small, red in colour and appear from the nodes along the stems of specialized emergent leaves from May to October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Flowers are only produced on the emergent part of the stem which can often be exposed 10–15 cm above the water surface. Like other submerged aquatic plants,</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readily produces fragments that are capable of dispersal and regeneration (Hussner &amp; Krause, 2007). Molecular DNA barcoding has been developed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(Ghahramanzadeh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to detect the presence of the species in trade and to separate it from unidentified wild populations. The spread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occurs predominately via clonal reproduction and fragmentation.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seed production within the EPPO region, thus there is no likelihood of dispersal by seed. Small stem fragments (&lt;1 cm) that contain at least one node have a high capacity to regenerate new plants and thus could initiate new infestations. Regeneration is even possible from single leaves, though this is generally unlikely. Compared with most other submerged macrophytes, stems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are more robust and tend to remain intact all year round, resulting in a low incidence of autofragment production. However, physical disturbance caused by human, fish and water-bird activity can lead to the production of allofragments.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grows in slow-moving rivers, irrigation channels, ponds, lakes, canals and damp ditches (Peters, 2004;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 Beer &amp; De Vlaeminck, 2008; Valkenburg, 2011;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semi-terrestrial form can be found between the interface of the aquatic and terrestrial environment on mudflats and boggy land (CABI, 2015), but this is a survival strategy rather than a preferred growth form when water levels drop. It is able to grow in water up to 9.5 m deep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Hussner, pers. comm.,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can grow in a wide range of physical and chemical conditions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can tolerate high summer temperatures as well as cold winter temperatures, when it can be covered by ice during the winter months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There are few data on the exact temperature requirements for this species within the EPPO region. The optimum temperature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about 20°C and plants grow best under high availability of carbon dioxide, even though the species can use bicarbonate as an additional carbon source for photosynthesis (Hussner &amp; Jahns, 2015). The light saturation point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between 200 and 300 micromole m² </w:t>
      </w:r>
      <w:r>
        <w:rPr>
          <w:rFonts w:ascii="Calibri" w:hAnsi="Calibri" w:eastAsia="Calibri" w:cs="Calibri"/>
          <w:color w:val="000000"/>
          <w:position w:val="4"/>
          <w:sz w:val="22"/>
          <w:szCs w:val="22"/>
          <w:vertAlign w:val="superscript"/>
        </w:rPr>
        <w:t xml:space="preserve">s</w:t>
      </w:r>
      <w:r>
        <w:rPr>
          <w:rFonts w:ascii="Calibri" w:hAnsi="Calibri" w:eastAsia="Calibri" w:cs="Calibri"/>
          <w:color w:val="000000"/>
          <w:sz w:val="22"/>
          <w:szCs w:val="22"/>
        </w:rPr>
        <w:t xml:space="preserve"> </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(Hussner, 2008), which is quite low but in the normal range for submerged aquatic plants, indicating shade tolerance.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insects have been observed to feed on emergent or submerged leaves, petioles and stems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USA: </w:t>
      </w:r>
      <w:r>
        <w:rPr>
          <w:rFonts w:ascii="Calibri" w:hAnsi="Calibri" w:eastAsia="Calibri" w:cs="Calibri"/>
          <w:i/>
          <w:iCs/>
          <w:color w:val="000000"/>
          <w:sz w:val="22"/>
          <w:szCs w:val="22"/>
        </w:rPr>
        <w:t xml:space="preserve">Donacia cincticornis</w:t>
      </w:r>
      <w:r>
        <w:rPr>
          <w:rFonts w:ascii="Calibri" w:hAnsi="Calibri" w:eastAsia="Calibri" w:cs="Calibri"/>
          <w:color w:val="000000"/>
          <w:sz w:val="22"/>
          <w:szCs w:val="22"/>
        </w:rPr>
        <w:t xml:space="preserve"> Newman, </w:t>
      </w:r>
      <w:r>
        <w:rPr>
          <w:rFonts w:ascii="Calibri" w:hAnsi="Calibri" w:eastAsia="Calibri" w:cs="Calibri"/>
          <w:i/>
          <w:iCs/>
          <w:color w:val="000000"/>
          <w:sz w:val="22"/>
          <w:szCs w:val="22"/>
        </w:rPr>
        <w:t xml:space="preserve">Perenthis vestitus</w:t>
      </w:r>
      <w:r>
        <w:rPr>
          <w:rFonts w:ascii="Calibri" w:hAnsi="Calibri" w:eastAsia="Calibri" w:cs="Calibri"/>
          <w:color w:val="000000"/>
          <w:sz w:val="22"/>
          <w:szCs w:val="22"/>
        </w:rPr>
        <w:t xml:space="preserve"> Dietz, </w:t>
      </w:r>
      <w:r>
        <w:rPr>
          <w:rFonts w:ascii="Calibri" w:hAnsi="Calibri" w:eastAsia="Calibri" w:cs="Calibri"/>
          <w:i/>
          <w:iCs/>
          <w:color w:val="000000"/>
          <w:sz w:val="22"/>
          <w:szCs w:val="22"/>
        </w:rPr>
        <w:t xml:space="preserve">Mystacoides longicornis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Oecetis cinerascens</w:t>
      </w:r>
      <w:r>
        <w:rPr>
          <w:rFonts w:ascii="Calibri" w:hAnsi="Calibri" w:eastAsia="Calibri" w:cs="Calibri"/>
          <w:color w:val="000000"/>
          <w:sz w:val="22"/>
          <w:szCs w:val="22"/>
        </w:rPr>
        <w:t xml:space="preserve"> Hagen, </w:t>
      </w:r>
      <w:r>
        <w:rPr>
          <w:rFonts w:ascii="Calibri" w:hAnsi="Calibri" w:eastAsia="Calibri" w:cs="Calibri"/>
          <w:i/>
          <w:iCs/>
          <w:color w:val="000000"/>
          <w:sz w:val="22"/>
          <w:szCs w:val="22"/>
        </w:rPr>
        <w:t xml:space="preserve">Triaenodes injusta</w:t>
      </w:r>
      <w:r>
        <w:rPr>
          <w:rFonts w:ascii="Calibri" w:hAnsi="Calibri" w:eastAsia="Calibri" w:cs="Calibri"/>
          <w:color w:val="000000"/>
          <w:sz w:val="22"/>
          <w:szCs w:val="22"/>
        </w:rPr>
        <w:t xml:space="preserve"> Hagen, </w:t>
      </w:r>
      <w:r>
        <w:rPr>
          <w:rFonts w:ascii="Calibri" w:hAnsi="Calibri" w:eastAsia="Calibri" w:cs="Calibri"/>
          <w:i/>
          <w:iCs/>
          <w:color w:val="000000"/>
          <w:sz w:val="22"/>
          <w:szCs w:val="22"/>
        </w:rPr>
        <w:t xml:space="preserve">Triaenodes marginata</w:t>
      </w:r>
      <w:r>
        <w:rPr>
          <w:rFonts w:ascii="Calibri" w:hAnsi="Calibri" w:eastAsia="Calibri" w:cs="Calibri"/>
          <w:color w:val="000000"/>
          <w:sz w:val="22"/>
          <w:szCs w:val="22"/>
        </w:rPr>
        <w:t xml:space="preserve"> Sibley, Triaenodes spp (McGaha, 1952). As the species is non-native within the EPPO region there are no co-evolved natural enemies that would significantly impact on the invasive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used within the aquatic ornamental plant trade, though within the EPPO region the species is never sold under its proper name (see Pathways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used in aquaria and as an ornamental plant in outdoor ponds. The plant is sold throughout the EPPO region as an ornamental aquatic species but never under its proper name. van Valkenburg (2011) reports that there are no records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aquatic plant trade in the Netherlands under its proper name. van Valkenburg &amp; Boer (2014) lists </w:t>
      </w:r>
      <w:r>
        <w:rPr>
          <w:rFonts w:ascii="Calibri" w:hAnsi="Calibri" w:eastAsia="Calibri" w:cs="Calibri"/>
          <w:i/>
          <w:iCs/>
          <w:color w:val="000000"/>
          <w:sz w:val="22"/>
          <w:szCs w:val="22"/>
        </w:rPr>
        <w:t xml:space="preserve">M. hippuroides</w:t>
      </w:r>
      <w:r>
        <w:rPr>
          <w:rFonts w:ascii="Calibri" w:hAnsi="Calibri" w:eastAsia="Calibri" w:cs="Calibri"/>
          <w:color w:val="000000"/>
          <w:sz w:val="22"/>
          <w:szCs w:val="22"/>
        </w:rPr>
        <w:t xml:space="preserve"> Torr. &amp; Gray, </w:t>
      </w:r>
      <w:r>
        <w:rPr>
          <w:rFonts w:ascii="Calibri" w:hAnsi="Calibri" w:eastAsia="Calibri" w:cs="Calibri"/>
          <w:i/>
          <w:iCs/>
          <w:color w:val="000000"/>
          <w:sz w:val="22"/>
          <w:szCs w:val="22"/>
        </w:rPr>
        <w:t xml:space="preserve">M. propinquum</w:t>
      </w:r>
      <w:r>
        <w:rPr>
          <w:rFonts w:ascii="Calibri" w:hAnsi="Calibri" w:eastAsia="Calibri" w:cs="Calibri"/>
          <w:color w:val="000000"/>
          <w:sz w:val="22"/>
          <w:szCs w:val="22"/>
        </w:rPr>
        <w:t xml:space="preserve"> Cunn. and </w:t>
      </w:r>
      <w:r>
        <w:rPr>
          <w:rFonts w:ascii="Calibri" w:hAnsi="Calibri" w:eastAsia="Calibri" w:cs="Calibri"/>
          <w:i/>
          <w:iCs/>
          <w:color w:val="000000"/>
          <w:sz w:val="22"/>
          <w:szCs w:val="22"/>
        </w:rPr>
        <w:t xml:space="preserve">M. scabratum</w:t>
      </w:r>
      <w:r>
        <w:rPr>
          <w:rFonts w:ascii="Calibri" w:hAnsi="Calibri" w:eastAsia="Calibri" w:cs="Calibri"/>
          <w:color w:val="000000"/>
          <w:sz w:val="22"/>
          <w:szCs w:val="22"/>
        </w:rPr>
        <w:t xml:space="preserve"> Michx. as mis-applied or mistakenly used names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trade in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monospecific growth of any aquatic plant species can have negative impacts on native plant communities and other aquatic organisms such as invertebrates and fish (Carpenter &amp; Lodge, 1986).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both environmental and economic impacts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mats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reduce light to other submerged plants and can affect water quality by reducing oxygen levels, resulting in avoidance of the infested area by fish. The maximum dry weight recorded for this species is very high, measured at 4 kg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in old infestations (Hussner, pers. comm., 2015). Additionally, the pH within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stands can vary between 7 and 10.5 on a diel basis, increasing stress for fish populations and reducing available habitat for other macrophyte species. In the Oranjekanaal in the province of Drenthe (the Netherlands) the turbidity of the water decreased greatly when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invaded the canal (Matthews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Retention of sediments can act to impede the lifecycle of high trophic levels by smothering spawning grounds for fish.</w:t>
      </w:r>
    </w:p>
    <w:p>
      <w:pPr>
        <w:widowControl w:val="on"/>
        <w:pBdr/>
        <w:spacing w:before="220" w:after="220" w:line="240" w:lineRule="auto"/>
        <w:ind w:left="0" w:right="0"/>
        <w:jc w:val="both"/>
      </w:pPr>
      <w:r>
        <w:rPr>
          <w:rFonts w:ascii="Calibri" w:hAnsi="Calibri" w:eastAsia="Calibri" w:cs="Calibri"/>
          <w:color w:val="000000"/>
          <w:sz w:val="22"/>
          <w:szCs w:val="22"/>
        </w:rPr>
        <w:t xml:space="preserve">Many rivers and lakes with the EPPO region are either protected areas or contain protected species that may be adversely affected by dense mats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The presence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rivers and lakes can act to degrade such habitats, reducing the ecological status of water bodies. In Belgium, the species grows alongside several rare and vulnerable aquatic native species including </w:t>
      </w:r>
      <w:r>
        <w:rPr>
          <w:rFonts w:ascii="Calibri" w:hAnsi="Calibri" w:eastAsia="Calibri" w:cs="Calibri"/>
          <w:i/>
          <w:iCs/>
          <w:color w:val="000000"/>
          <w:sz w:val="22"/>
          <w:szCs w:val="22"/>
        </w:rPr>
        <w:t xml:space="preserve">Luronium natans</w:t>
      </w:r>
      <w:r>
        <w:rPr>
          <w:rFonts w:ascii="Calibri" w:hAnsi="Calibri" w:eastAsia="Calibri" w:cs="Calibri"/>
          <w:color w:val="000000"/>
          <w:sz w:val="22"/>
          <w:szCs w:val="22"/>
        </w:rPr>
        <w:t xml:space="preserve"> (L.) Raf., a Red List species. In some nature reserves in Germany the species occurs as the dominant species with up to 95% coverage of the whole water body (Hussner, pers. comm.,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known to hybridize with </w:t>
      </w:r>
      <w:r>
        <w:rPr>
          <w:rFonts w:ascii="Calibri" w:hAnsi="Calibri" w:eastAsia="Calibri" w:cs="Calibri"/>
          <w:i/>
          <w:iCs/>
          <w:color w:val="000000"/>
          <w:sz w:val="22"/>
          <w:szCs w:val="22"/>
        </w:rPr>
        <w:t xml:space="preserve">M. laxum</w:t>
      </w:r>
      <w:r>
        <w:rPr>
          <w:rFonts w:ascii="Calibri" w:hAnsi="Calibri" w:eastAsia="Calibri" w:cs="Calibri"/>
          <w:color w:val="000000"/>
          <w:sz w:val="22"/>
          <w:szCs w:val="22"/>
        </w:rPr>
        <w:t xml:space="preserve"> Shuttlew. Ex Chapm. and </w:t>
      </w:r>
      <w:r>
        <w:rPr>
          <w:rFonts w:ascii="Calibri" w:hAnsi="Calibri" w:eastAsia="Calibri" w:cs="Calibri"/>
          <w:i/>
          <w:iCs/>
          <w:color w:val="000000"/>
          <w:sz w:val="22"/>
          <w:szCs w:val="22"/>
        </w:rPr>
        <w:t xml:space="preserve">M. hippuroides</w:t>
      </w:r>
      <w:r>
        <w:rPr>
          <w:rFonts w:ascii="Calibri" w:hAnsi="Calibri" w:eastAsia="Calibri" w:cs="Calibri"/>
          <w:color w:val="000000"/>
          <w:sz w:val="22"/>
          <w:szCs w:val="22"/>
        </w:rPr>
        <w:t xml:space="preserve">, both very closely related species (Moody &amp; Les, 2002). However, as detailed by Newman (2014), closely related species from the Spondylium subsection do not occur in the EPPO region and therefore hybridization seems very unlikely. In the USA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the potential to hybridize with the native </w:t>
      </w:r>
      <w:r>
        <w:rPr>
          <w:rFonts w:ascii="Calibri" w:hAnsi="Calibri" w:eastAsia="Calibri" w:cs="Calibri"/>
          <w:i/>
          <w:iCs/>
          <w:color w:val="000000"/>
          <w:sz w:val="22"/>
          <w:szCs w:val="22"/>
        </w:rPr>
        <w:t xml:space="preserve">M. pinnatum</w:t>
      </w:r>
      <w:r>
        <w:rPr>
          <w:rFonts w:ascii="Calibri" w:hAnsi="Calibri" w:eastAsia="Calibri" w:cs="Calibri"/>
          <w:color w:val="000000"/>
          <w:sz w:val="22"/>
          <w:szCs w:val="22"/>
        </w:rPr>
        <w:t xml:space="preserve"> (Walter) Britton, Sterns &amp; Poggenb. forming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pinnatum</w:t>
      </w:r>
      <w:r>
        <w:rPr>
          <w:rFonts w:ascii="Calibri" w:hAnsi="Calibri" w:eastAsia="Calibri" w:cs="Calibri"/>
          <w:color w:val="000000"/>
          <w:sz w:val="22"/>
          <w:szCs w:val="22"/>
        </w:rPr>
        <w:t xml:space="preserve"> which is a more aggressive hybrid, and considering the number of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‘species’ in trade, hybridization in future may result in more aggressive invasive species (Moody &amp; Les, 2002; Thum &amp; Lennon, 2006; Tavalire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can reduce the aesthetic value of water bodies and restrict water-related recreational activities including fishing, swimming and boating (Hussner, pers. comm.,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decay of large plant masses results in elevated levels of dissolved and suspended organic matter in the water column (Carpenter &amp; Lodge, 1986). Furthermore, large populations act to increase sedimentation (Carpenter &amp; Lodge, 1986). Monospecific stands can negatively affect wildlife (predator/prey relationship among fish, impede predation, shelter prey fish, cover spawning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been recorded as reducing house prices by 20–40% when the species grows along lake shores (Halstead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Invasive aquatic weeds can cause high economic impacts to areas they invade, both in terms of management and loss of earnings by degrading the areas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drainage and irrigation systems the presence of the species reduces water availability and flow. Hydropower and drinking water resources can be affected as the plant clogs up waterbodies.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 study in Maine, USA, three physical control methods (hand removal, cutting and benthic mats) were assessed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(Bailey &amp; Calhoun, 2008). All three methods significantly lowered regrowth, though the cost of both hand pulling and cutting was one-third the cost of benthic mats. Benthic mats can only be applied in small infestations.</w:t>
      </w:r>
    </w:p>
    <w:p>
      <w:pPr>
        <w:widowControl w:val="on"/>
        <w:pBdr/>
        <w:spacing w:before="220" w:after="220" w:line="240" w:lineRule="auto"/>
        <w:ind w:left="0" w:right="0"/>
        <w:jc w:val="both"/>
      </w:pPr>
      <w:r>
        <w:rPr>
          <w:rFonts w:ascii="Calibri" w:hAnsi="Calibri" w:eastAsia="Calibri" w:cs="Calibri"/>
          <w:color w:val="000000"/>
          <w:sz w:val="22"/>
          <w:szCs w:val="22"/>
        </w:rPr>
        <w:t xml:space="preserve">Washing out plant stands using a hydro-Venturi system has been practised in the Netherlands for the management of both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Cabomba caroliniana</w:t>
      </w:r>
      <w:r>
        <w:rPr>
          <w:rFonts w:ascii="Calibri" w:hAnsi="Calibri" w:eastAsia="Calibri" w:cs="Calibri"/>
          <w:color w:val="000000"/>
          <w:sz w:val="22"/>
          <w:szCs w:val="22"/>
        </w:rPr>
        <w:t xml:space="preserve"> Gray. The system removes both the root system and the foliage, resulting in long-term control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cost of a hydro-Venturi system, when taking into account all preparatory work and aftercare, can be in the region of EUR 1.35–2.05 m² (van Valkenburg, pers. comm., 2015). This depends on the dimensions of the waterways, sediment types, etc.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Small, recently detected infestations may be successfully eradicated through careful and thorough hand-pulling or using a tarpaulin. Great care should be taken with such methods since they cause fragmentation of the plant and therefore increase potential spread. Benthic barriers may be used in small areas (swimming beaches, boating lanes, around docks) to restrict light and upward growth. Nevertheless, barriers can have a negative impact on benthic organisms and need to be properly maintained.</w:t>
      </w:r>
    </w:p>
    <w:p>
      <w:pPr>
        <w:widowControl w:val="on"/>
        <w:pBdr/>
        <w:spacing w:before="220" w:after="220" w:line="240" w:lineRule="auto"/>
        <w:ind w:left="0" w:right="0"/>
        <w:jc w:val="both"/>
      </w:pPr>
      <w:r>
        <w:rPr>
          <w:rFonts w:ascii="Calibri" w:hAnsi="Calibri" w:eastAsia="Calibri" w:cs="Calibri"/>
          <w:color w:val="000000"/>
          <w:sz w:val="22"/>
          <w:szCs w:val="22"/>
        </w:rPr>
        <w:t xml:space="preserve">Dense stands occurring in shallow lakes in the vicinity of Dusseldorf (NordRhine Westfalia, Germany) have been regularly cut in summer using a weed cutting boat without any long-term effect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Hussner &amp; Krause, 2007). Mechanical control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these lakes, where 190 tonnes of fresh weight was removed, cost in the region of EUR 45 000 (Hussner &amp; Krause, 2007). Again, since the 1990s, repeated cutting in a lake in the Ville area has not decreased the population in the long term. However, mechanical control options may be better practised during the winter time, when the plant is less active and regrowth is less likely, to reduce the effect on native vegetation and to reduce the competitive advantage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spring.</w:t>
      </w:r>
    </w:p>
    <w:p>
      <w:pPr>
        <w:widowControl w:val="on"/>
        <w:pBdr/>
        <w:spacing w:before="220" w:after="220" w:line="240" w:lineRule="auto"/>
        <w:ind w:left="0" w:right="0"/>
        <w:jc w:val="both"/>
      </w:pPr>
      <w:r>
        <w:rPr>
          <w:rFonts w:ascii="Calibri" w:hAnsi="Calibri" w:eastAsia="Calibri" w:cs="Calibri"/>
          <w:color w:val="000000"/>
          <w:sz w:val="22"/>
          <w:szCs w:val="22"/>
        </w:rPr>
        <w:t xml:space="preserve">Drawdown (see </w:t>
      </w:r>
      <w:hyperlink r:id="rId492567ce5f0f5c274" w:history="1">
        <w:r>
          <w:rPr>
            <w:rFonts w:ascii="Calibri" w:hAnsi="Calibri" w:eastAsia="Calibri" w:cs="Calibri"/>
            <w:color w:val="0000CC"/>
            <w:sz w:val="22"/>
            <w:szCs w:val="22"/>
            <w:u w:val="single"/>
          </w:rPr>
          <w:t xml:space="preserve">http://www.ecy.wa.gov/programs/ wq/plants/management/drawdown.html</w:t>
        </w:r>
      </w:hyperlink>
      <w:r>
        <w:rPr>
          <w:rFonts w:ascii="Calibri" w:hAnsi="Calibri" w:eastAsia="Calibri" w:cs="Calibri"/>
          <w:color w:val="000000"/>
          <w:sz w:val="22"/>
          <w:szCs w:val="22"/>
        </w:rPr>
        <w:t xml:space="preserve">) can also be used to control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where applicable, if it is extensive enough to prevent regrowth, but this control method could have a negative impact on native plants and animals (fish, reptiles, amphibians, etc.).</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 control (e.g. diquat-dibromide and 2,4-D) is recommended in some US states to manage this species (Getsinger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Triclopyr is effective against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over a wide range of concentrations and exposure times. Carfentrazone-ethyl has been shown to be effective against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(Glomski &amp; Netherland, 2007). Diquat applied at 370 microgram a.s. per L for 30 h provided good control (85%) and carfentrazone significantly reduced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biomass. Fluridone and penoxsulam are also reported to control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at rates as low as 5 and 10 microgram a.s. per L, respectively (Glomski &amp; Nertherlands, 2008). None of the active ingredients are currently approved for use in the EU.</w:t>
      </w:r>
    </w:p>
    <w:p>
      <w:pPr>
        <w:widowControl w:val="on"/>
        <w:pBdr/>
        <w:spacing w:before="220" w:after="220" w:line="240" w:lineRule="auto"/>
        <w:ind w:left="0" w:right="0"/>
        <w:jc w:val="both"/>
      </w:pPr>
      <w:r>
        <w:rPr>
          <w:rFonts w:ascii="Calibri" w:hAnsi="Calibri" w:eastAsia="Calibri" w:cs="Calibri"/>
          <w:color w:val="000000"/>
          <w:sz w:val="22"/>
          <w:szCs w:val="22"/>
        </w:rPr>
        <w:t xml:space="preserve">Grass carp (</w:t>
      </w:r>
      <w:r>
        <w:rPr>
          <w:rFonts w:ascii="Calibri" w:hAnsi="Calibri" w:eastAsia="Calibri" w:cs="Calibri"/>
          <w:i/>
          <w:iCs/>
          <w:color w:val="000000"/>
          <w:sz w:val="22"/>
          <w:szCs w:val="22"/>
        </w:rPr>
        <w:t xml:space="preserve">Ctenopharyngodon idella</w:t>
      </w:r>
      <w:r>
        <w:rPr>
          <w:rFonts w:ascii="Calibri" w:hAnsi="Calibri" w:eastAsia="Calibri" w:cs="Calibri"/>
          <w:color w:val="000000"/>
          <w:sz w:val="22"/>
          <w:szCs w:val="22"/>
        </w:rPr>
        <w:t xml:space="preserve">) have been used in Dusseldorf after the failure of mechanical control, but they have not eradicated the species. In the USA, Hanlon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showed a reduction in cover in 6 years from 54% to 24% when grass carp were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included in the EU Regulation (1143/2014) and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as a result of a Code of Conduct in the Netherlands all major growers and retail chains agreed not to sell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after 2013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Belgium, different initiatives regarding regulation are in preparation or being applied. At the federal level there is a Royal Decree in preparation to prohibit the import, export and transit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Wallonia, the Circulaire Wallonne (Version 2013) prohibits the use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a Code of Conduct there is a so-called ‘consensus species list’ that horticulture professionals agreed to withdraw from sales or plantations (Halford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appears on that list. It is assigned to the Black List and classified as an A1 species (isolated populations but with a high environmental risk). In Germany,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included on the Black List/Action List of invasive alien plants in Germany. According to paragraph 40 (BNatSchG, 2009), these species that are on the Action List should be targeted by the local authorities. A Pest Risk Assessment was produced specifically for Germany (Ahlburg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Rapid Risk Assessment has been produced for the GB Non-Native Species Secretariat (Newman,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For plants for planting EPPO (2015) recommends:</w:t>
      </w:r>
    </w:p>
    <w:p>
      <w:pPr>
        <w:widowControl w:val="on"/>
        <w:pBdr/>
        <w:spacing w:before="220" w:after="220" w:line="240" w:lineRule="auto"/>
        <w:ind w:left="0" w:right="0"/>
        <w:jc w:val="both"/>
      </w:pPr>
      <w:r>
        <w:rPr>
          <w:rFonts w:ascii="Calibri" w:hAnsi="Calibri" w:eastAsia="Calibri" w:cs="Calibri"/>
          <w:color w:val="000000"/>
          <w:sz w:val="22"/>
          <w:szCs w:val="22"/>
        </w:rPr>
        <w:t xml:space="preserve">(1) Prohibition of import into and within the EPPO region. Because many species are imported under incorrect names it is necessary to screen imported aquatic plants for the presence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should be recommended as a quarantine pest within the EPPO region. Techniques for confirmation of exact species identification, including molecular methods are available (Van Valkenburg &amp; Boer, 2015; Ghahramanzadeh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(2) In addition to the existing requirement for a phytosanitary certificate (PC) by the exporting country, confirmation of the correct identification and labelling of the species should be required (see EPPO Standard PM 1/1(2) Use of phytosanitary certificates).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Ahlburg N, Schrader G &amp; Starfinger U (2009) A Pest Risk Assessment for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EPPO PRA. </w:t>
      </w:r>
    </w:p>
    <w:p>
      <w:pPr>
        <w:widowControl w:val="on"/>
        <w:pBdr/>
        <w:spacing w:before="220" w:after="220" w:line="240" w:lineRule="auto"/>
        <w:ind w:left="0" w:right="0"/>
        <w:jc w:val="left"/>
      </w:pPr>
      <w:r>
        <w:rPr>
          <w:rFonts w:ascii="Calibri" w:hAnsi="Calibri" w:eastAsia="Calibri" w:cs="Calibri"/>
          <w:color w:val="000000"/>
          <w:sz w:val="22"/>
          <w:szCs w:val="22"/>
        </w:rPr>
        <w:t xml:space="preserve">Bailey JE &amp; Calhoun AJK (2008) Comparison of three physical management techniques for controlling Variable-leaf Milfoil in Maine lakes.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163–167. </w:t>
      </w:r>
    </w:p>
    <w:p>
      <w:pPr>
        <w:widowControl w:val="on"/>
        <w:pBdr/>
        <w:spacing w:before="220" w:after="220" w:line="240" w:lineRule="auto"/>
        <w:ind w:left="0" w:right="0"/>
        <w:jc w:val="left"/>
      </w:pPr>
      <w:r>
        <w:rPr>
          <w:rFonts w:ascii="Calibri" w:hAnsi="Calibri" w:eastAsia="Calibri" w:cs="Calibri"/>
          <w:color w:val="000000"/>
          <w:sz w:val="22"/>
          <w:szCs w:val="22"/>
        </w:rPr>
        <w:t xml:space="preserve">BNatSchG (2009) Gesetz zur Neuregelung des Rechts des Naturschutzes und der Landschaftspflege (Federal Nature Conservation Act). Bundesgesetzblatt Jahrgang 2009. </w:t>
      </w:r>
      <w:r>
        <w:rPr>
          <w:rFonts w:ascii="Calibri" w:hAnsi="Calibri" w:eastAsia="Calibri" w:cs="Calibri"/>
          <w:i/>
          <w:iCs/>
          <w:color w:val="000000"/>
          <w:sz w:val="22"/>
          <w:szCs w:val="22"/>
        </w:rPr>
        <w:t xml:space="preserve">Teil I, Nr.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2542–2579. </w:t>
      </w:r>
    </w:p>
    <w:p>
      <w:pPr>
        <w:widowControl w:val="on"/>
        <w:pBdr/>
        <w:spacing w:before="220" w:after="220" w:line="240" w:lineRule="auto"/>
        <w:ind w:left="0" w:right="0"/>
        <w:jc w:val="left"/>
      </w:pPr>
      <w:r>
        <w:rPr>
          <w:rFonts w:ascii="Calibri" w:hAnsi="Calibri" w:eastAsia="Calibri" w:cs="Calibri"/>
          <w:color w:val="000000"/>
          <w:sz w:val="22"/>
          <w:szCs w:val="22"/>
        </w:rPr>
        <w:t xml:space="preserve">Bouxin G &amp; Lambinon J (1996) Deux xénophytes aquatiques nouveaux pour la Belgique,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Lagarosiphon major</w:t>
      </w:r>
      <w:r>
        <w:rPr>
          <w:rFonts w:ascii="Calibri" w:hAnsi="Calibri" w:eastAsia="Calibri" w:cs="Calibri"/>
          <w:color w:val="000000"/>
          <w:sz w:val="22"/>
          <w:szCs w:val="22"/>
        </w:rPr>
        <w:t xml:space="preserve">, dans la Meuse a Lives-sur-Meuse (province de Namur). </w:t>
      </w:r>
      <w:r>
        <w:rPr>
          <w:rFonts w:ascii="Calibri" w:hAnsi="Calibri" w:eastAsia="Calibri" w:cs="Calibri"/>
          <w:i/>
          <w:iCs/>
          <w:color w:val="000000"/>
          <w:sz w:val="22"/>
          <w:szCs w:val="22"/>
        </w:rPr>
        <w:t xml:space="preserve">Natura Mosana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94–97.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R, Scribailo RW &amp; Alix MS (2014) HALORAGACEAE, Flora of North America, Provisional Publication 28th May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Schrader G, Brundu G &amp; Fried G (2010) Emerging invasive alien plants for the Mediterranean Basin.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219– 238. </w:t>
      </w:r>
    </w:p>
    <w:p>
      <w:pPr>
        <w:widowControl w:val="on"/>
        <w:pBdr/>
        <w:spacing w:before="220" w:after="220" w:line="240" w:lineRule="auto"/>
        <w:ind w:left="0" w:right="0"/>
        <w:jc w:val="left"/>
      </w:pPr>
      <w:r>
        <w:rPr>
          <w:rFonts w:ascii="Calibri" w:hAnsi="Calibri" w:eastAsia="Calibri" w:cs="Calibri"/>
          <w:color w:val="000000"/>
          <w:sz w:val="22"/>
          <w:szCs w:val="22"/>
        </w:rPr>
        <w:t xml:space="preserve">BSBI (2012)</w:t>
      </w:r>
      <w:r>
        <w:rPr>
          <w:rFonts w:ascii="Calibri" w:hAnsi="Calibri" w:eastAsia="Calibri" w:cs="Calibri"/>
          <w:i/>
          <w:iCs/>
          <w:color w:val="000000"/>
          <w:sz w:val="22"/>
          <w:szCs w:val="22"/>
        </w:rPr>
        <w:t xml:space="preserve"> Myriophyllum heterophyllum</w:t>
      </w:r>
      <w:r>
        <w:rPr>
          <w:rFonts w:ascii="Calibri" w:hAnsi="Calibri" w:eastAsia="Calibri" w:cs="Calibri"/>
          <w:color w:val="000000"/>
          <w:sz w:val="22"/>
          <w:szCs w:val="22"/>
        </w:rPr>
        <w:t xml:space="preserve">. </w:t>
      </w:r>
      <w:hyperlink r:id="rId925867ce5f0f5c8d0" w:history="1">
        <w:r>
          <w:rPr>
            <w:rFonts w:ascii="Calibri" w:hAnsi="Calibri" w:eastAsia="Calibri" w:cs="Calibri"/>
            <w:color w:val="0000CC"/>
            <w:sz w:val="22"/>
            <w:szCs w:val="22"/>
            <w:u w:val="single"/>
          </w:rPr>
          <w:t xml:space="preserve">http://www.bsbi.org.uk</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 Invasive Species Compendium. CAB International, Wallingford (GB). </w:t>
      </w:r>
      <w:hyperlink r:id="rId295567ce5f0f5c912" w:history="1">
        <w:r>
          <w:rPr>
            <w:rFonts w:ascii="Calibri" w:hAnsi="Calibri" w:eastAsia="Calibri" w:cs="Calibri"/>
            <w:color w:val="0000CC"/>
            <w:sz w:val="22"/>
            <w:szCs w:val="22"/>
            <w:u w:val="single"/>
          </w:rPr>
          <w:t xml:space="preserve">https://www.cabi.org/isc</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submerged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D &amp; De Vlaeminck R (2008)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een nieuwe invasieve waterplant. </w:t>
      </w:r>
      <w:r>
        <w:rPr>
          <w:rFonts w:ascii="Calibri" w:hAnsi="Calibri" w:eastAsia="Calibri" w:cs="Calibri"/>
          <w:i/>
          <w:iCs/>
          <w:color w:val="000000"/>
          <w:sz w:val="22"/>
          <w:szCs w:val="22"/>
        </w:rPr>
        <w:t xml:space="preserve">Dumortiera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8–13. </w:t>
      </w:r>
    </w:p>
    <w:p>
      <w:pPr>
        <w:widowControl w:val="on"/>
        <w:pBdr/>
        <w:spacing w:before="220" w:after="220" w:line="240" w:lineRule="auto"/>
        <w:ind w:left="0" w:right="0"/>
        <w:jc w:val="left"/>
      </w:pPr>
      <w:r>
        <w:rPr>
          <w:rFonts w:ascii="Calibri" w:hAnsi="Calibri" w:eastAsia="Calibri" w:cs="Calibri"/>
          <w:color w:val="000000"/>
          <w:sz w:val="22"/>
          <w:szCs w:val="22"/>
        </w:rPr>
        <w:t xml:space="preserve">ENSR International (2005). A rapid response plan for variable watermilfoil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Massachusetts.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Myriophyllum heterophyllum. EPPO, Paris. Available at </w:t>
      </w:r>
      <w:hyperlink r:id="rId750267ce5f0f5ca60"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Getsinger KD, Sprecher SL &amp; Smagula AP (2003) Effects of triclopyr on variable-leaf watermilfoil.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124–126. </w:t>
      </w:r>
    </w:p>
    <w:p>
      <w:pPr>
        <w:widowControl w:val="on"/>
        <w:pBdr/>
        <w:spacing w:before="220" w:after="220" w:line="240" w:lineRule="auto"/>
        <w:ind w:left="0" w:right="0"/>
        <w:jc w:val="left"/>
      </w:pPr>
      <w:r>
        <w:rPr>
          <w:rFonts w:ascii="Calibri" w:hAnsi="Calibri" w:eastAsia="Calibri" w:cs="Calibri"/>
          <w:color w:val="000000"/>
          <w:sz w:val="22"/>
          <w:szCs w:val="22"/>
        </w:rPr>
        <w:t xml:space="preserve">Ghahramanzadeh R, Esselink G, Kodde LP, Duistermatt H, van Valkenburg JLCH, Marashi 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Efficient distinction of invasive aquatic plant species from non-invasive related species using DNA barcoding.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21–31.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(2011)</w:t>
      </w:r>
      <w:r>
        <w:rPr>
          <w:rFonts w:ascii="Calibri" w:hAnsi="Calibri" w:eastAsia="Calibri" w:cs="Calibri"/>
          <w:i/>
          <w:iCs/>
          <w:color w:val="000000"/>
          <w:sz w:val="22"/>
          <w:szCs w:val="22"/>
        </w:rPr>
        <w:t xml:space="preserve"> Myriophyllum heterophyllum</w:t>
      </w:r>
      <w:r>
        <w:rPr>
          <w:rFonts w:ascii="Calibri" w:hAnsi="Calibri" w:eastAsia="Calibri" w:cs="Calibri"/>
          <w:color w:val="000000"/>
          <w:sz w:val="22"/>
          <w:szCs w:val="22"/>
        </w:rPr>
        <w:t xml:space="preserve"> (aquatic plant). </w:t>
      </w:r>
      <w:hyperlink r:id="rId290767ce5f0f5cb91" w:history="1">
        <w:r>
          <w:rPr>
            <w:rFonts w:ascii="Calibri" w:hAnsi="Calibri" w:eastAsia="Calibri" w:cs="Calibri"/>
            <w:color w:val="0000CC"/>
            <w:sz w:val="22"/>
            <w:szCs w:val="22"/>
            <w:u w:val="single"/>
          </w:rPr>
          <w:t xml:space="preserve">http://www.issg.org/database/species/ecology.asp?si=1700&amp;fr=1&amp;sts=&amp;lang=SC</w:t>
        </w:r>
      </w:hyperlink>
      <w:r>
        <w:rPr>
          <w:rFonts w:ascii="Calibri" w:hAnsi="Calibri" w:eastAsia="Calibri" w:cs="Calibri"/>
          <w:color w:val="000000"/>
          <w:sz w:val="22"/>
          <w:szCs w:val="22"/>
        </w:rPr>
        <w:t xml:space="preserve"> [accessed on 14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 &amp; Netherland M (2007) Efficacy of diquat and carfentrazone-ethyl on variable-leaf 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136–138. </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 &amp; Nertherlands M (2008) Efficacy of fluridone, penoxsulam, and bispyribac-sodium on variable leaf 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193–196. </w:t>
      </w:r>
    </w:p>
    <w:p>
      <w:pPr>
        <w:widowControl w:val="on"/>
        <w:pBdr/>
        <w:spacing w:before="220" w:after="220" w:line="240" w:lineRule="auto"/>
        <w:ind w:left="0" w:right="0"/>
        <w:jc w:val="left"/>
      </w:pPr>
      <w:r>
        <w:rPr>
          <w:rFonts w:ascii="Calibri" w:hAnsi="Calibri" w:eastAsia="Calibri" w:cs="Calibri"/>
          <w:color w:val="000000"/>
          <w:sz w:val="22"/>
          <w:szCs w:val="22"/>
        </w:rPr>
        <w:t xml:space="preserve">Halford M, Mathys C, Heemers L, Vanderhoeven S, Branquart E, vanGossum 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Code of conduct on invasive plants in Belgium. Plant different. Final version revised in December 2013. University of Liege Gembloux Agro Bio-Tech (Belgium). 11 pp. </w:t>
      </w:r>
    </w:p>
    <w:p>
      <w:pPr>
        <w:widowControl w:val="on"/>
        <w:pBdr/>
        <w:spacing w:before="220" w:after="220" w:line="240" w:lineRule="auto"/>
        <w:ind w:left="0" w:right="0"/>
        <w:jc w:val="left"/>
      </w:pPr>
      <w:r>
        <w:rPr>
          <w:rFonts w:ascii="Calibri" w:hAnsi="Calibri" w:eastAsia="Calibri" w:cs="Calibri"/>
          <w:color w:val="000000"/>
          <w:sz w:val="22"/>
          <w:szCs w:val="22"/>
        </w:rPr>
        <w:t xml:space="preserve">Halstead JM, Michaud J &amp; Hallas-Burt SH (2003) Hedonic analysis of effects of a non-native invader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on New Hampshire (USA) lakefront properties.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391–398. </w:t>
      </w:r>
    </w:p>
    <w:p>
      <w:pPr>
        <w:widowControl w:val="on"/>
        <w:pBdr/>
        <w:spacing w:before="220" w:after="220" w:line="240" w:lineRule="auto"/>
        <w:ind w:left="0" w:right="0"/>
        <w:jc w:val="left"/>
      </w:pPr>
      <w:r>
        <w:rPr>
          <w:rFonts w:ascii="Calibri" w:hAnsi="Calibri" w:eastAsia="Calibri" w:cs="Calibri"/>
          <w:color w:val="000000"/>
          <w:sz w:val="22"/>
          <w:szCs w:val="22"/>
        </w:rPr>
        <w:t xml:space="preserve">Hanlon SG, Hoyer MV, Cichra CE &amp; Canfield DE (2000) Evaluation of macrophyte control in 38 Florida lakes using triploid grass carp.</w:t>
      </w:r>
      <w:r>
        <w:rPr>
          <w:rFonts w:ascii="Calibri" w:hAnsi="Calibri" w:eastAsia="Calibri" w:cs="Calibri"/>
          <w:i/>
          <w:iCs/>
          <w:color w:val="000000"/>
          <w:sz w:val="22"/>
          <w:szCs w:val="22"/>
        </w:rPr>
        <w:t xml:space="preserve"> 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48–54.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(2008) Okologische und okophysiologische Charakteristika aquatischer Neophyten in Nordrhein-Westfalen. Dissertation, Universitat Dusseldorf, 192 S.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&amp; Jahns P (2015) European native Myriophyllum spicatum showed a higher HC03- use capacity than alien invasive </w:t>
      </w:r>
      <w:r>
        <w:rPr>
          <w:rFonts w:ascii="Calibri" w:hAnsi="Calibri" w:eastAsia="Calibri" w:cs="Calibri"/>
          <w:i/>
          <w:iCs/>
          <w:color w:val="000000"/>
          <w:sz w:val="22"/>
          <w:szCs w:val="22"/>
        </w:rPr>
        <w:t xml:space="preserve">Myriophyllum heterophyllum. 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746</w:t>
      </w:r>
      <w:r>
        <w:rPr>
          <w:rFonts w:ascii="Calibri" w:hAnsi="Calibri" w:eastAsia="Calibri" w:cs="Calibri"/>
          <w:color w:val="000000"/>
          <w:sz w:val="22"/>
          <w:szCs w:val="22"/>
        </w:rPr>
        <w:t xml:space="preserve">, 171–182.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&amp; Krause T (2007) Zur Biologie des aquatischen Neophyten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in Dusseldorfer Stadtgewassern. </w:t>
      </w:r>
      <w:r>
        <w:rPr>
          <w:rFonts w:ascii="Calibri" w:hAnsi="Calibri" w:eastAsia="Calibri" w:cs="Calibri"/>
          <w:i/>
          <w:iCs/>
          <w:color w:val="000000"/>
          <w:sz w:val="22"/>
          <w:szCs w:val="22"/>
        </w:rPr>
        <w:t xml:space="preserve">Acta Biologica Benrodis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67–76.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Nienhaus I &amp; Krause T (2005) Zur Verbreitung von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in Nordrhein-Westfalen. </w:t>
      </w:r>
      <w:r>
        <w:rPr>
          <w:rFonts w:ascii="Calibri" w:hAnsi="Calibri" w:eastAsia="Calibri" w:cs="Calibri"/>
          <w:i/>
          <w:iCs/>
          <w:color w:val="000000"/>
          <w:sz w:val="22"/>
          <w:szCs w:val="22"/>
        </w:rPr>
        <w:t xml:space="preserve">Floristische Rundbriefe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113–120. </w:t>
      </w:r>
    </w:p>
    <w:p>
      <w:pPr>
        <w:widowControl w:val="on"/>
        <w:pBdr/>
        <w:spacing w:before="220" w:after="220" w:line="240" w:lineRule="auto"/>
        <w:ind w:left="0" w:right="0"/>
        <w:jc w:val="left"/>
      </w:pPr>
      <w:r>
        <w:rPr>
          <w:rFonts w:ascii="Calibri" w:hAnsi="Calibri" w:eastAsia="Calibri" w:cs="Calibri"/>
          <w:color w:val="000000"/>
          <w:sz w:val="22"/>
          <w:szCs w:val="22"/>
        </w:rPr>
        <w:t xml:space="preserve">Lebreton A (2013)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[Haloragaceae] en Haute-Vienne (Limousin, France), et situation de cette plante invasive en France et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180–192. </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J, Beringen R, Lamers LPM, Odé B, Pot R, van der Velde G,  van Valkenburg JLCH, Verbrugge LNH &amp; Leuven RSEW (2013) Knowledge document for risk analysis of the non-native Fanwort (</w:t>
      </w:r>
      <w:r>
        <w:rPr>
          <w:rFonts w:ascii="Calibri" w:hAnsi="Calibri" w:eastAsia="Calibri" w:cs="Calibri"/>
          <w:i/>
          <w:iCs/>
          <w:color w:val="000000"/>
          <w:sz w:val="22"/>
          <w:szCs w:val="22"/>
        </w:rPr>
        <w:t xml:space="preserve">Cabomba caroliniana</w:t>
      </w:r>
      <w:r>
        <w:rPr>
          <w:rFonts w:ascii="Calibri" w:hAnsi="Calibri" w:eastAsia="Calibri" w:cs="Calibri"/>
          <w:color w:val="000000"/>
          <w:sz w:val="22"/>
          <w:szCs w:val="22"/>
        </w:rPr>
        <w:t xml:space="preserve">) in the Netherlands. Radboud University Nijmegen. </w:t>
      </w:r>
    </w:p>
    <w:p>
      <w:pPr>
        <w:widowControl w:val="on"/>
        <w:pBdr/>
        <w:spacing w:before="220" w:after="220" w:line="240" w:lineRule="auto"/>
        <w:ind w:left="0" w:right="0"/>
        <w:jc w:val="left"/>
      </w:pPr>
      <w:r>
        <w:rPr>
          <w:rFonts w:ascii="Calibri" w:hAnsi="Calibri" w:eastAsia="Calibri" w:cs="Calibri"/>
          <w:color w:val="000000"/>
          <w:sz w:val="22"/>
          <w:szCs w:val="22"/>
        </w:rPr>
        <w:t xml:space="preserve">McGaha YJ (1952) The limnological relations of insects to certain aquatic flowering plants. </w:t>
      </w:r>
      <w:r>
        <w:rPr>
          <w:rFonts w:ascii="Calibri" w:hAnsi="Calibri" w:eastAsia="Calibri" w:cs="Calibri"/>
          <w:i/>
          <w:iCs/>
          <w:color w:val="000000"/>
          <w:sz w:val="22"/>
          <w:szCs w:val="22"/>
        </w:rPr>
        <w:t xml:space="preserve">Transactions of the American Microscopical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355–381. </w:t>
      </w:r>
    </w:p>
    <w:p>
      <w:pPr>
        <w:widowControl w:val="on"/>
        <w:pBdr/>
        <w:spacing w:before="220" w:after="220" w:line="240" w:lineRule="auto"/>
        <w:ind w:left="0" w:right="0"/>
        <w:jc w:val="left"/>
      </w:pPr>
      <w:r>
        <w:rPr>
          <w:rFonts w:ascii="Calibri" w:hAnsi="Calibri" w:eastAsia="Calibri" w:cs="Calibri"/>
          <w:color w:val="000000"/>
          <w:sz w:val="22"/>
          <w:szCs w:val="22"/>
        </w:rPr>
        <w:t xml:space="preserve">Moody ML &amp; Les DH (2002) Evidence of hybridity in invasive watermilfoil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14867–14871. </w:t>
      </w:r>
    </w:p>
    <w:p>
      <w:pPr>
        <w:widowControl w:val="on"/>
        <w:pBdr/>
        <w:spacing w:before="220" w:after="220" w:line="240" w:lineRule="auto"/>
        <w:ind w:left="0" w:right="0"/>
        <w:jc w:val="left"/>
      </w:pPr>
      <w:r>
        <w:rPr>
          <w:rFonts w:ascii="Calibri" w:hAnsi="Calibri" w:eastAsia="Calibri" w:cs="Calibri"/>
          <w:color w:val="000000"/>
          <w:sz w:val="22"/>
          <w:szCs w:val="22"/>
        </w:rPr>
        <w:t xml:space="preserve">Newman J (2014) Rapid Risk Assessment of: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Defra. </w:t>
      </w:r>
      <w:hyperlink r:id="rId787667ce5f0f5d0f6" w:history="1">
        <w:r>
          <w:rPr>
            <w:rFonts w:ascii="Calibri" w:hAnsi="Calibri" w:eastAsia="Calibri" w:cs="Calibri"/>
            <w:color w:val="0000CC"/>
            <w:sz w:val="22"/>
            <w:szCs w:val="22"/>
            <w:u w:val="single"/>
          </w:rPr>
          <w:t xml:space="preserve">http://www.nonnativespecies. org/downloadDocument.cfm?id=1211</w:t>
        </w:r>
      </w:hyperlink>
      <w:r>
        <w:rPr>
          <w:rFonts w:ascii="Calibri" w:hAnsi="Calibri" w:eastAsia="Calibri" w:cs="Calibri"/>
          <w:color w:val="000000"/>
          <w:sz w:val="22"/>
          <w:szCs w:val="22"/>
        </w:rPr>
        <w:t xml:space="preserve"> [accessed on 15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GMT (2004) Een vreemd vederkruid in het Zwartwater: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w:t>
      </w:r>
      <w:r>
        <w:rPr>
          <w:rFonts w:ascii="Calibri" w:hAnsi="Calibri" w:eastAsia="Calibri" w:cs="Calibri"/>
          <w:i/>
          <w:iCs/>
          <w:color w:val="000000"/>
          <w:sz w:val="22"/>
          <w:szCs w:val="22"/>
        </w:rPr>
        <w:t xml:space="preserve">Natuurhistorisch Maandblad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251–252. </w:t>
      </w:r>
    </w:p>
    <w:p>
      <w:pPr>
        <w:widowControl w:val="on"/>
        <w:pBdr/>
        <w:spacing w:before="220" w:after="220" w:line="240" w:lineRule="auto"/>
        <w:ind w:left="0" w:right="0"/>
        <w:jc w:val="left"/>
      </w:pPr>
      <w:r>
        <w:rPr>
          <w:rFonts w:ascii="Calibri" w:hAnsi="Calibri" w:eastAsia="Calibri" w:cs="Calibri"/>
          <w:color w:val="000000"/>
          <w:sz w:val="22"/>
          <w:szCs w:val="22"/>
        </w:rPr>
        <w:t xml:space="preserve">Spangehl B &amp; Scharrenberg U (1985) Das Wechselblattrige Tausendblatt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im Heider Bergsee bei Bruhl (Erftkreis, NRW). </w:t>
      </w:r>
      <w:r>
        <w:rPr>
          <w:rFonts w:ascii="Calibri" w:hAnsi="Calibri" w:eastAsia="Calibri" w:cs="Calibri"/>
          <w:i/>
          <w:iCs/>
          <w:color w:val="000000"/>
          <w:sz w:val="22"/>
          <w:szCs w:val="22"/>
        </w:rPr>
        <w:t xml:space="preserve">Floristische Rundbriefe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98–100. </w:t>
      </w:r>
    </w:p>
    <w:p>
      <w:pPr>
        <w:widowControl w:val="on"/>
        <w:pBdr/>
        <w:spacing w:before="220" w:after="220" w:line="240" w:lineRule="auto"/>
        <w:ind w:left="0" w:right="0"/>
        <w:jc w:val="left"/>
      </w:pPr>
      <w:r>
        <w:rPr>
          <w:rFonts w:ascii="Calibri" w:hAnsi="Calibri" w:eastAsia="Calibri" w:cs="Calibri"/>
          <w:color w:val="000000"/>
          <w:sz w:val="22"/>
          <w:szCs w:val="22"/>
        </w:rPr>
        <w:t xml:space="preserve">Stricker W (1962) Das Leipziger Hafengelande – Einwanderungstor seltener und fremder Pflanzenarten. </w:t>
      </w:r>
      <w:r>
        <w:rPr>
          <w:rFonts w:ascii="Calibri" w:hAnsi="Calibri" w:eastAsia="Calibri" w:cs="Calibri"/>
          <w:i/>
          <w:iCs/>
          <w:color w:val="000000"/>
          <w:sz w:val="22"/>
          <w:szCs w:val="22"/>
        </w:rPr>
        <w:t xml:space="preserve">Sachsisches Heimatblatt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464– 473. </w:t>
      </w:r>
    </w:p>
    <w:p>
      <w:pPr>
        <w:widowControl w:val="on"/>
        <w:pBdr/>
        <w:spacing w:before="220" w:after="220" w:line="240" w:lineRule="auto"/>
        <w:ind w:left="0" w:right="0"/>
        <w:jc w:val="left"/>
      </w:pPr>
      <w:r>
        <w:rPr>
          <w:rFonts w:ascii="Calibri" w:hAnsi="Calibri" w:eastAsia="Calibri" w:cs="Calibri"/>
          <w:color w:val="000000"/>
          <w:sz w:val="22"/>
          <w:szCs w:val="22"/>
        </w:rPr>
        <w:t xml:space="preserve">Tavalire HF, Bugbee GE, LaRue EA &amp; Thum RA (2012) Hybridization, cryptic diversity, and invasiveness in introduced variable-leaf watermilfoil.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892–900. </w:t>
      </w:r>
    </w:p>
    <w:p>
      <w:pPr>
        <w:widowControl w:val="on"/>
        <w:pBdr/>
        <w:spacing w:before="220" w:after="220" w:line="240" w:lineRule="auto"/>
        <w:ind w:left="0" w:right="0"/>
        <w:jc w:val="left"/>
      </w:pPr>
      <w:r>
        <w:rPr>
          <w:rFonts w:ascii="Calibri" w:hAnsi="Calibri" w:eastAsia="Calibri" w:cs="Calibri"/>
          <w:color w:val="000000"/>
          <w:sz w:val="22"/>
          <w:szCs w:val="22"/>
        </w:rPr>
        <w:t xml:space="preserve">Thum RA &amp; Lennon JT (2006) Is hybridization responsible for invasive growth of non-indigenous water-milfoils?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1061–1066.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(2011)</w:t>
      </w:r>
      <w:r>
        <w:rPr>
          <w:rFonts w:ascii="Calibri" w:hAnsi="Calibri" w:eastAsia="Calibri" w:cs="Calibri"/>
          <w:i/>
          <w:iCs/>
          <w:color w:val="000000"/>
          <w:sz w:val="22"/>
          <w:szCs w:val="22"/>
        </w:rPr>
        <w:t xml:space="preserve"> Cabomba caroliniana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a nightmare combination. Robson Meeting February 2011. </w:t>
      </w:r>
      <w:hyperlink r:id="rId131167ce5f0f5d385" w:history="1">
        <w:r>
          <w:rPr>
            <w:rFonts w:ascii="Calibri" w:hAnsi="Calibri" w:eastAsia="Calibri" w:cs="Calibri"/>
            <w:color w:val="0000CC"/>
            <w:sz w:val="22"/>
            <w:szCs w:val="22"/>
            <w:u w:val="single"/>
          </w:rPr>
          <w:t xml:space="preserve">http://www.robsonmeeting.org/valkenburg.pdf</w:t>
        </w:r>
      </w:hyperlink>
      <w:r>
        <w:rPr>
          <w:rFonts w:ascii="Calibri" w:hAnsi="Calibri" w:eastAsia="Calibri" w:cs="Calibri"/>
          <w:color w:val="000000"/>
          <w:sz w:val="22"/>
          <w:szCs w:val="22"/>
        </w:rPr>
        <w:t xml:space="preserve"> [accessed on 15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JLHC &amp; Boer E. (2014) </w:t>
      </w:r>
      <w:r>
        <w:rPr>
          <w:rFonts w:ascii="Calibri" w:hAnsi="Calibri" w:eastAsia="Calibri" w:cs="Calibri"/>
          <w:i/>
          <w:iCs/>
          <w:color w:val="000000"/>
          <w:sz w:val="22"/>
          <w:szCs w:val="22"/>
        </w:rPr>
        <w:t xml:space="preserve">Cabomba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in trade: What’s in a name? Robson Meeting Proceedings 2005. Waterland Management Ltd. </w:t>
      </w:r>
      <w:hyperlink r:id="rId546067ce5f0f5d403" w:history="1">
        <w:r>
          <w:rPr>
            <w:rFonts w:ascii="Calibri" w:hAnsi="Calibri" w:eastAsia="Calibri" w:cs="Calibri"/>
            <w:color w:val="0000CC"/>
            <w:sz w:val="22"/>
            <w:szCs w:val="22"/>
            <w:u w:val="single"/>
          </w:rPr>
          <w:t xml:space="preserve">http://www.robsonmeeting.org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JLCH, Roijackers RMM &amp; Leonard R (2011) Cabomba caroliniana Gray in The Netherlands. 3rd International Symposium on Weeds and Invasive Plants, October 2-7, Ascona, Switzerland.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LNH, Leuven PSEW, van Valkenburg JLCH &amp; van den Born RJG (2014) Evaluating stakeholder awareness and involvement in the risk prevention of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 </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F, Eschen R, Harris A, Djeddour D, Pratt C, Shaw 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The Economic Cost of Invasive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Non-native Species on Great Britain</w:t>
      </w:r>
      <w:r>
        <w:rPr>
          <w:rFonts w:ascii="Calibri" w:hAnsi="Calibri" w:eastAsia="Calibri" w:cs="Calibri"/>
          <w:color w:val="000000"/>
          <w:sz w:val="22"/>
          <w:szCs w:val="22"/>
        </w:rPr>
        <w:t xml:space="preserve">, pp. 199.CABI, Wallingford (GB).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April 2015. The composition of the group was: Anderson LWJ (Waterweed Solution, Davis, US), Fried G (ANSES Laboratoire de la santé des végétaux, Montpellier, FR), Gunasekera L (Biosecurity Queensland, Mackay, AU), Hussner A (Institut fur Botanik, Dusseldorf, DE), Newman J (NERC, Centre for Ecology and Hydrology, Wallingford, GB), Starfinger U (Julius Kühn Institut (JKI), Institute for National and International Plant Health, Braunschweig, DE), Stiers I (Algemene Plantkunde en Natuurbeheer, Brussels, BE), van Valkenburg J (National Plant Protection Organization, HC Wageningen, NL) and Tanner RA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EPPO datasheets on pests recommended for regulation. Available online. </w:t>
      </w:r>
      <w:hyperlink r:id="rId264967ce5f0f5d5d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(2016) Datasheets on pests recommended for regulation.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20-24. </w:t>
      </w:r>
      <w:hyperlink r:id="rId155467ce5f0f5d6c4" w:history="1">
        <w:r>
          <w:rPr>
            <w:rFonts w:ascii="Calibri" w:hAnsi="Calibri" w:eastAsia="Calibri" w:cs="Calibri"/>
            <w:color w:val="0000CC"/>
            <w:sz w:val="22"/>
            <w:szCs w:val="22"/>
            <w:u w:val="single"/>
          </w:rPr>
          <w:t xml:space="preserve">https://doi.org/10.1111/epp.12277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911143">
    <w:multiLevelType w:val="hybridMultilevel"/>
    <w:lvl w:ilvl="0" w:tplc="37395800">
      <w:start w:val="1"/>
      <w:numFmt w:val="decimal"/>
      <w:lvlText w:val="%1."/>
      <w:lvlJc w:val="left"/>
      <w:pPr>
        <w:ind w:left="720" w:hanging="360"/>
      </w:pPr>
    </w:lvl>
    <w:lvl w:ilvl="1" w:tplc="37395800" w:tentative="1">
      <w:start w:val="1"/>
      <w:numFmt w:val="lowerLetter"/>
      <w:lvlText w:val="%2."/>
      <w:lvlJc w:val="left"/>
      <w:pPr>
        <w:ind w:left="1440" w:hanging="360"/>
      </w:pPr>
    </w:lvl>
    <w:lvl w:ilvl="2" w:tplc="37395800" w:tentative="1">
      <w:start w:val="1"/>
      <w:numFmt w:val="lowerRoman"/>
      <w:lvlText w:val="%3."/>
      <w:lvlJc w:val="right"/>
      <w:pPr>
        <w:ind w:left="2160" w:hanging="180"/>
      </w:pPr>
    </w:lvl>
    <w:lvl w:ilvl="3" w:tplc="37395800" w:tentative="1">
      <w:start w:val="1"/>
      <w:numFmt w:val="decimal"/>
      <w:lvlText w:val="%4."/>
      <w:lvlJc w:val="left"/>
      <w:pPr>
        <w:ind w:left="2880" w:hanging="360"/>
      </w:pPr>
    </w:lvl>
    <w:lvl w:ilvl="4" w:tplc="37395800" w:tentative="1">
      <w:start w:val="1"/>
      <w:numFmt w:val="lowerLetter"/>
      <w:lvlText w:val="%5."/>
      <w:lvlJc w:val="left"/>
      <w:pPr>
        <w:ind w:left="3600" w:hanging="360"/>
      </w:pPr>
    </w:lvl>
    <w:lvl w:ilvl="5" w:tplc="37395800" w:tentative="1">
      <w:start w:val="1"/>
      <w:numFmt w:val="lowerRoman"/>
      <w:lvlText w:val="%6."/>
      <w:lvlJc w:val="right"/>
      <w:pPr>
        <w:ind w:left="4320" w:hanging="180"/>
      </w:pPr>
    </w:lvl>
    <w:lvl w:ilvl="6" w:tplc="37395800" w:tentative="1">
      <w:start w:val="1"/>
      <w:numFmt w:val="decimal"/>
      <w:lvlText w:val="%7."/>
      <w:lvlJc w:val="left"/>
      <w:pPr>
        <w:ind w:left="5040" w:hanging="360"/>
      </w:pPr>
    </w:lvl>
    <w:lvl w:ilvl="7" w:tplc="37395800" w:tentative="1">
      <w:start w:val="1"/>
      <w:numFmt w:val="lowerLetter"/>
      <w:lvlText w:val="%8."/>
      <w:lvlJc w:val="left"/>
      <w:pPr>
        <w:ind w:left="5760" w:hanging="360"/>
      </w:pPr>
    </w:lvl>
    <w:lvl w:ilvl="8" w:tplc="37395800" w:tentative="1">
      <w:start w:val="1"/>
      <w:numFmt w:val="lowerRoman"/>
      <w:lvlText w:val="%9."/>
      <w:lvlJc w:val="right"/>
      <w:pPr>
        <w:ind w:left="6480" w:hanging="180"/>
      </w:pPr>
    </w:lvl>
  </w:abstractNum>
  <w:abstractNum w:abstractNumId="53911142">
    <w:multiLevelType w:val="hybridMultilevel"/>
    <w:lvl w:ilvl="0" w:tplc="243259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911142">
    <w:abstractNumId w:val="53911142"/>
  </w:num>
  <w:num w:numId="53911143">
    <w:abstractNumId w:val="539111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9768316" Type="http://schemas.microsoft.com/office/2011/relationships/commentsExtended" Target="commentsExtended.xml"/><Relationship Id="rId447528205" Type="http://schemas.microsoft.com/office/2011/relationships/people" Target="people.xml"/><Relationship Id="rId796267ce5f0f59e36" Type="http://schemas.openxmlformats.org/officeDocument/2006/relationships/hyperlink" Target="https://gd.eppo.int/taxon/MYPHE/" TargetMode="External"/><Relationship Id="rId239867ce5f0f59ea3" Type="http://schemas.openxmlformats.org/officeDocument/2006/relationships/hyperlink" Target="https://gd.eppo.int/taxon/MYPHE/categorization" TargetMode="External"/><Relationship Id="rId616067ce5f0f5a603" Type="http://schemas.openxmlformats.org/officeDocument/2006/relationships/hyperlink" Target="https://gd.eppo.int/taxon/MYPHE/photos" TargetMode="External"/><Relationship Id="rId495967ce5f0f5a726" Type="http://schemas.openxmlformats.org/officeDocument/2006/relationships/hyperlink" Target="http://www.invasive.org/" TargetMode="External"/><Relationship Id="rId909267ce5f0f5a7ca" Type="http://schemas.openxmlformats.org/officeDocument/2006/relationships/hyperlink" Target="http://ias.biodiversity.be/" TargetMode="External"/><Relationship Id="rId603467ce5f0f5a874" Type="http://schemas.openxmlformats.org/officeDocument/2006/relationships/hyperlink" Target="http://www.verspreidingsatlas.nl/5500" TargetMode="External"/><Relationship Id="rId492567ce5f0f5c274" Type="http://schemas.openxmlformats.org/officeDocument/2006/relationships/hyperlink" Target="http://www.ecy.wa.gov/programs/%20wq/plants/management/drawdown.html" TargetMode="External"/><Relationship Id="rId925867ce5f0f5c8d0" Type="http://schemas.openxmlformats.org/officeDocument/2006/relationships/hyperlink" Target="http://www.bsbi.org.uk" TargetMode="External"/><Relationship Id="rId295567ce5f0f5c912" Type="http://schemas.openxmlformats.org/officeDocument/2006/relationships/hyperlink" Target="https://www.cabi.org/isc" TargetMode="External"/><Relationship Id="rId750267ce5f0f5ca60" Type="http://schemas.openxmlformats.org/officeDocument/2006/relationships/hyperlink" Target="http://www.eppo.int/QUARANTINE/Pest_Risk_Analysis/PRA_intro.htm" TargetMode="External"/><Relationship Id="rId290767ce5f0f5cb91" Type="http://schemas.openxmlformats.org/officeDocument/2006/relationships/hyperlink" Target="http://www.issg.org/database/species/ecology.asp?si=1700&amp;fr=1&amp;sts=&amp;lang=SC" TargetMode="External"/><Relationship Id="rId787667ce5f0f5d0f6" Type="http://schemas.openxmlformats.org/officeDocument/2006/relationships/hyperlink" Target="http://www.nonnativespecies.%20org/downloadDocument.cfm?id=1211" TargetMode="External"/><Relationship Id="rId131167ce5f0f5d385" Type="http://schemas.openxmlformats.org/officeDocument/2006/relationships/hyperlink" Target="http://www.robsonmeeting.org/valkenburg.pdf" TargetMode="External"/><Relationship Id="rId546067ce5f0f5d403" Type="http://schemas.openxmlformats.org/officeDocument/2006/relationships/hyperlink" Target="http://www.robsonmeeting.org" TargetMode="External"/><Relationship Id="rId264967ce5f0f5d5dd" Type="http://schemas.openxmlformats.org/officeDocument/2006/relationships/hyperlink" Target="https://gd.eppo.int" TargetMode="External"/><Relationship Id="rId155467ce5f0f5d6c4" Type="http://schemas.openxmlformats.org/officeDocument/2006/relationships/hyperlink" Target="https://doi.org/10.1111/epp.12277" TargetMode="External"/><Relationship Id="rId529367ce5f0f5a4ed" Type="http://schemas.openxmlformats.org/officeDocument/2006/relationships/image" Target="media/imgrId529367ce5f0f5a4ed.jpg"/><Relationship Id="rId422867ce5f0f5b39f" Type="http://schemas.openxmlformats.org/officeDocument/2006/relationships/image" Target="media/imgrId422867ce5f0f5b39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