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Nacobbus aberrans sensu lato</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Nacobbus aberrans sensu lato</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(Thorne) Thorne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aberrans</w:t>
            </w:r>
            <w:r>
              <w:rPr>
                <w:rFonts w:ascii="Calibri" w:hAnsi="Calibri" w:eastAsia="Calibri" w:cs="Calibri"/>
                <w:color w:val="000000"/>
                <w:position w:val="-3"/>
                <w:sz w:val="22"/>
                <w:szCs w:val="22"/>
              </w:rPr>
              <w:t xml:space="preserve"> Thorne, </w:t>
            </w:r>
            <w:r>
              <w:rPr>
                <w:rFonts w:ascii="Calibri" w:hAnsi="Calibri" w:eastAsia="Calibri" w:cs="Calibri"/>
                <w:i/>
                <w:iCs/>
                <w:color w:val="000000"/>
                <w:position w:val="-3"/>
                <w:sz w:val="22"/>
                <w:szCs w:val="22"/>
              </w:rPr>
              <w:t xml:space="preserve">Nacobbus batatiformis</w:t>
            </w:r>
            <w:r>
              <w:rPr>
                <w:rFonts w:ascii="Calibri" w:hAnsi="Calibri" w:eastAsia="Calibri" w:cs="Calibri"/>
                <w:color w:val="000000"/>
                <w:position w:val="-3"/>
                <w:sz w:val="22"/>
                <w:szCs w:val="22"/>
              </w:rPr>
              <w:t xml:space="preserve"> Thorne &amp; Schuster, </w:t>
            </w:r>
            <w:r>
              <w:rPr>
                <w:rFonts w:ascii="Calibri" w:hAnsi="Calibri" w:eastAsia="Calibri" w:cs="Calibri"/>
                <w:i/>
                <w:iCs/>
                <w:color w:val="000000"/>
                <w:position w:val="-3"/>
                <w:sz w:val="22"/>
                <w:szCs w:val="22"/>
              </w:rPr>
              <w:t xml:space="preserve">Nacobbus serendipiticus bolivianus</w:t>
            </w:r>
            <w:r>
              <w:rPr>
                <w:rFonts w:ascii="Calibri" w:hAnsi="Calibri" w:eastAsia="Calibri" w:cs="Calibri"/>
                <w:color w:val="000000"/>
                <w:position w:val="-3"/>
                <w:sz w:val="22"/>
                <w:szCs w:val="22"/>
              </w:rPr>
              <w:t xml:space="preserve"> Lordello, Zamith &amp; Boock, </w:t>
            </w:r>
            <w:r>
              <w:rPr>
                <w:rFonts w:ascii="Calibri" w:hAnsi="Calibri" w:eastAsia="Calibri" w:cs="Calibri"/>
                <w:i/>
                <w:iCs/>
                <w:color w:val="000000"/>
                <w:position w:val="-3"/>
                <w:sz w:val="22"/>
                <w:szCs w:val="22"/>
              </w:rPr>
              <w:t xml:space="preserve">Nacobbus serendipiticus</w:t>
            </w:r>
            <w:r>
              <w:rPr>
                <w:rFonts w:ascii="Calibri" w:hAnsi="Calibri" w:eastAsia="Calibri" w:cs="Calibri"/>
                <w:color w:val="000000"/>
                <w:position w:val="-3"/>
                <w:sz w:val="22"/>
                <w:szCs w:val="22"/>
              </w:rPr>
              <w:t xml:space="preserve"> Franklin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root-knot nematode</w:t>
            </w:r>
            <w:hyperlink r:id="rId8341680442eb2cc3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258680442eb2cc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NACOBA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980281" name="name3267680442eb2d8cd" descr="15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85.jpg"/>
                          <pic:cNvPicPr/>
                        </pic:nvPicPr>
                        <pic:blipFill>
                          <a:blip r:embed="rId6249680442eb2d8cb" cstate="print"/>
                          <a:stretch>
                            <a:fillRect/>
                          </a:stretch>
                        </pic:blipFill>
                        <pic:spPr>
                          <a:xfrm>
                            <a:off x="0" y="0"/>
                            <a:ext cx="2160000" cy="1281600"/>
                          </a:xfrm>
                          <a:prstGeom prst="rect">
                            <a:avLst/>
                          </a:prstGeom>
                          <a:ln w="0">
                            <a:noFill/>
                          </a:ln>
                        </pic:spPr>
                      </pic:pic>
                    </a:graphicData>
                  </a:graphic>
                </wp:inline>
              </w:drawing>
            </w:r>
            <w:hyperlink r:id="rId6534680442eb2da5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is still in revision. Sher (1970) reviewed the genus and synonymized </w:t>
      </w:r>
      <w:r>
        <w:rPr>
          <w:rFonts w:ascii="Calibri" w:hAnsi="Calibri" w:eastAsia="Calibri" w:cs="Calibri"/>
          <w:i/>
          <w:iCs/>
          <w:color w:val="000000"/>
          <w:sz w:val="22"/>
          <w:szCs w:val="22"/>
        </w:rPr>
        <w:t xml:space="preserve">N. batatiformis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serendipiticus</w:t>
      </w:r>
      <w:r>
        <w:rPr>
          <w:rFonts w:ascii="Calibri" w:hAnsi="Calibri" w:eastAsia="Calibri" w:cs="Calibri"/>
          <w:color w:val="000000"/>
          <w:sz w:val="22"/>
          <w:szCs w:val="22"/>
        </w:rPr>
        <w:t xml:space="preserve"> and the subspecies </w:t>
      </w:r>
      <w:r>
        <w:rPr>
          <w:rFonts w:ascii="Calibri" w:hAnsi="Calibri" w:eastAsia="Calibri" w:cs="Calibri"/>
          <w:i/>
          <w:iCs/>
          <w:color w:val="000000"/>
          <w:sz w:val="22"/>
          <w:szCs w:val="22"/>
        </w:rPr>
        <w:t xml:space="preserve">N. serendipiticus bolivianus</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Subsequently, the term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was used because of the great variability observed in the new populations detected, mainly at morphological, physiological and genetic levels. Recently, in order to clarify the taxonomic status of this complex, an integrative taxonomic analysis was carried out, using morphometric and molecular data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results supported the identification of three nominal species: i) </w:t>
      </w:r>
      <w:r>
        <w:rPr>
          <w:rFonts w:ascii="Calibri" w:hAnsi="Calibri" w:eastAsia="Calibri" w:cs="Calibri"/>
          <w:i/>
          <w:iCs/>
          <w:color w:val="000000"/>
          <w:sz w:val="22"/>
          <w:szCs w:val="22"/>
        </w:rPr>
        <w:t xml:space="preserve">N. aberrans sensu stricto</w:t>
      </w:r>
      <w:r>
        <w:rPr>
          <w:rFonts w:ascii="Calibri" w:hAnsi="Calibri" w:eastAsia="Calibri" w:cs="Calibri"/>
          <w:color w:val="000000"/>
          <w:sz w:val="22"/>
          <w:szCs w:val="22"/>
        </w:rPr>
        <w:t xml:space="preserve">, mainly distributed in Mexico and Ecuador; ii) </w:t>
      </w:r>
      <w:r>
        <w:rPr>
          <w:rFonts w:ascii="Calibri" w:hAnsi="Calibri" w:eastAsia="Calibri" w:cs="Calibri"/>
          <w:i/>
          <w:iCs/>
          <w:color w:val="000000"/>
          <w:sz w:val="22"/>
          <w:szCs w:val="22"/>
        </w:rPr>
        <w:t xml:space="preserve">N. bolivianus </w:t>
      </w:r>
      <w:r>
        <w:rPr>
          <w:rFonts w:ascii="Calibri" w:hAnsi="Calibri" w:eastAsia="Calibri" w:cs="Calibri"/>
          <w:color w:val="000000"/>
          <w:sz w:val="22"/>
          <w:szCs w:val="22"/>
        </w:rPr>
        <w:t xml:space="preserve">(ex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serendipiticus bolivianus</w:t>
      </w:r>
      <w:r>
        <w:rPr>
          <w:rFonts w:ascii="Calibri" w:hAnsi="Calibri" w:eastAsia="Calibri" w:cs="Calibri"/>
          <w:color w:val="000000"/>
          <w:sz w:val="22"/>
          <w:szCs w:val="22"/>
        </w:rPr>
        <w:t xml:space="preserve">), present in Bolivia and Peru;</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iii) </w:t>
      </w:r>
      <w:r>
        <w:rPr>
          <w:rFonts w:ascii="Calibri" w:hAnsi="Calibri" w:eastAsia="Calibri" w:cs="Calibri"/>
          <w:i/>
          <w:iCs/>
          <w:color w:val="000000"/>
          <w:sz w:val="22"/>
          <w:szCs w:val="22"/>
        </w:rPr>
        <w:t xml:space="preserve">N. celatus</w:t>
      </w:r>
      <w:r>
        <w:rPr>
          <w:rFonts w:ascii="Calibri" w:hAnsi="Calibri" w:eastAsia="Calibri" w:cs="Calibri"/>
          <w:color w:val="000000"/>
          <w:sz w:val="22"/>
          <w:szCs w:val="22"/>
        </w:rPr>
        <w:t xml:space="preserve">, a new species widely distributed in the lowlands of Argentina. However, there are many populations that have not yet been correctly identified and should be considered as </w:t>
      </w:r>
      <w:r>
        <w:rPr>
          <w:rFonts w:ascii="Calibri" w:hAnsi="Calibri" w:eastAsia="Calibri" w:cs="Calibri"/>
          <w:i/>
          <w:iCs/>
          <w:color w:val="000000"/>
          <w:sz w:val="22"/>
          <w:szCs w:val="22"/>
        </w:rPr>
        <w:t xml:space="preserve">N. aberrans s.l.</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is highly polyphagous, attacking at least 84 plant species of 24 families, including crops, native plants, and weeds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Doucet &amp; Lax, 2005; EPPO, 2009). Potato, tomato, pepper, sugarbeet and bean are the most economically significant hosts. Weeds can function as a permanent source of inoculum in cultivated crops or as reservoirs in the absence of the culture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Doucet &amp; Lax, 2005). Nematode populations from different geographic origins may show distinct behaviours when interacting with the same plant species or cultivar. This indicates that certain populations possess the ability to invade and proliferate within roots of a given plant, while others are unable to infest them. Consequently, based on these host preferences, populations can be differentiated into groups, races, biotypes or pathotypes (Castiblanco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Franco &amp; Main, 2008;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which are associated with specific host ranges and geographic areas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hypochondriacus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quitensis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confertifolia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 var. pendulum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roseum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berlandieri var.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Escobaria vivipara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fragilis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Spergula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Ullucus tuberosus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is indigenous to the American continent (Sher, 1970). Although quarantine records and interceptions of contaminated plant material have been reported in other countries, such as England, the Netherlands and Russia, there is so far no evidence of establishment of this nematode outside the Americas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r>
        <w:drawing>
          <wp:inline distT="0" distB="0" distL="0" distR="0">
            <wp:extent cx="6120000" cy="3067200"/>
            <wp:docPr id="40100545" name="name5671680442eb2f3e6" descr="NACOB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OBA_distribution_map.jpg"/>
                    <pic:cNvPicPr/>
                  </pic:nvPicPr>
                  <pic:blipFill>
                    <a:blip r:embed="rId8933680442eb2f3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Colorado, Kansas, Montana, Nebraska, South Dakota, Utah,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Nacobbus aberrans s.l.</w:t>
      </w:r>
      <w:r>
        <w:rPr>
          <w:rFonts w:ascii="Calibri" w:hAnsi="Calibri" w:eastAsia="Calibri" w:cs="Calibri"/>
          <w:color w:val="000000"/>
          <w:sz w:val="22"/>
          <w:szCs w:val="22"/>
        </w:rPr>
        <w:t xml:space="preserve"> has four juvenile stages (J1 inside the egg, J2-J4) and the adults (male, immature and mature female). The J2-J4 and immature female (filiform) are infective, migratory and endoparasitic stages and can be found inside the roots and/or in the soil. The immature female establishes near the central root cylinder, becoming a sedentary endoparasite with a fusiform body. Feeding and development is accompanied by histological changes and gall formation by the roots, and eggs are laid in a gelatinous matrix which protrudes from the root surface into the soil. Development can be completed in about 37-48 days at 22-24 °C and even extend up to almost a year (observed when the nematode infests potato tubers). J3 and J4 are able to survive for more than 10 months in a quiescent state under the lenticels of stored potato tubers (Costilla, 1985a). The nematode is adapted to a wide range of climatic conditions; it is resistant to low temperatures (below -10 °C) and above 30 °C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Under laboratory conditions,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survived after 4 months in infested roots and soil at -13 °C, and 8 months in air-dried soil (7-9% RH) (Jatala &amp; Kaltenbach,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galls are similar to those caused by the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and it is not possible to differentiate these nematodes from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based on this root symptom. Infested potato tubers do not show visible symptoms.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is characterized by the females having a single ovary (two in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and males having a bursa. Mature females in the root galls are fusiform with tapered posterior position contrasting with the rounded posterior end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mature females. Although the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mature female can be easily identified, the free mobile stages can be confused with other species, especially those of the family Pratylenchidae (Anthoine &amp; Mugniéry, 2005). The immature female is vermiform and is found in roots and in soil. The tail of immature females and juveniles (J2-J4) is rounded whereas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J2 has a tapered tail. See also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technique will depend on the type of material to be tested (roots, potato tubers, or soil samples). In roots, direct dissection of the galls can reveal the presence of fusiform females. Roots or potato peelings can be processed using the maceration-centrifugal-flotation (Coolen, 1979) or maceration-flotation method (Costilla, 1985b). During periods of temperature decline and drought, dormant stages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in soil can tolerate desiccation for 24 months. As a consequence, the nematode extraction from the soil using routine methods may be nil or very low. This makes it difficult to accurately assess the level of population density prior to sowing or transplanting a susceptible crop (Cristóbal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main techniques for nematode detection in soil samples are Baermann funnel or its modification, flotation-centrifugation with sugar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‘the closed bag method’ described by Ortuño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 molecular diagnostic method for detecting </w:t>
      </w:r>
      <w:r>
        <w:rPr>
          <w:rFonts w:ascii="Calibri" w:hAnsi="Calibri" w:eastAsia="Calibri" w:cs="Calibri"/>
          <w:i/>
          <w:iCs/>
          <w:color w:val="000000"/>
          <w:sz w:val="22"/>
          <w:szCs w:val="22"/>
        </w:rPr>
        <w:t xml:space="preserve">N. aberrans s.l. </w:t>
      </w:r>
      <w:r>
        <w:rPr>
          <w:rFonts w:ascii="Calibri" w:hAnsi="Calibri" w:eastAsia="Calibri" w:cs="Calibri"/>
          <w:color w:val="000000"/>
          <w:sz w:val="22"/>
          <w:szCs w:val="22"/>
        </w:rPr>
        <w:t xml:space="preserve">in soil and in potato tubers was developed by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More details are given in the EPPO diagnostic protocol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can be spread in contaminated potato tubers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with the movement of infested plants and soil (EFSA PLH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is ranked as one of the top ten nematode pests in the world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impact on yield depends on different factors, such as population pathotype/group, initial density, climatic conditions, soil type, and the crop/cultivar selected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the Andean region, it is one of the main pests of the potato crop, reducing yields by about 10-73% (Canto-Saenz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Tomato production is reduced by around 60-75% in Ecuador (Corrales Arango, 2007) and by 12-83% in Mexico (Cristóbal-Alejo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sugarbeet, losses range between 10-20% in the USA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up to 36% on bean in Mexico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Nematicides alone do not effectively reduce populations of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(Manzanilla-López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main strategies that need to be rationally applied include: crop rotation, use of tolerant/resistant cultivars, use of trap and antagonistic plants, avoiding the spread of infected tubers, use of non-infested seed potato, application of organic amendments, solarisation, stubble burning, weed control, cleaning of farm machinery, and chemical and biological control (Franco, 1994;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Biological control strategies using different organisms (such as bacteria, fungi and entomopathogenic nematodes) and other eco-compatible approaches (metabolites, essential oils, plant extracts, phytohormones and amendments), either alone or as part of a combined control strategy show good results to reduce the root damage (less galls) and the nematode reproduction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field evaluations need to be further developed.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adaptive capacity to different environments and its wide host range,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a major threat if it were to be introduced into new regions or if new pathotypes/groups were to be introduced into new areas (Inserra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Lax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distribution is restricted to the American continent, it has quarantine importance and is subject to international legislation to prevent its spread to other regions, such as the European Union. Detection in potato tubers is very important for regulatory and seed certification purposes. Post-entry quarantine procedures in the EPPO region are needed, together with equivalent checks before export to avoid the introduction of the South American potato pathotype/group. Only material for scientific purposes should normally be imported from South and North America. From other countries where </w:t>
      </w:r>
      <w:r>
        <w:rPr>
          <w:rFonts w:ascii="Calibri" w:hAnsi="Calibri" w:eastAsia="Calibri" w:cs="Calibri"/>
          <w:i/>
          <w:iCs/>
          <w:color w:val="000000"/>
          <w:sz w:val="22"/>
          <w:szCs w:val="22"/>
        </w:rPr>
        <w:t xml:space="preserve">N. aberrans s.l.</w:t>
      </w:r>
      <w:r>
        <w:rPr>
          <w:rFonts w:ascii="Calibri" w:hAnsi="Calibri" w:eastAsia="Calibri" w:cs="Calibri"/>
          <w:color w:val="000000"/>
          <w:sz w:val="22"/>
          <w:szCs w:val="22"/>
        </w:rPr>
        <w:t xml:space="preserve"> is known to occur, the simplest practical measure is to restrict the introduction of soil, as such or accompanying plants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Anthoine G &amp; Mugniéry D (2005) Variability of the ITS rDNA and identification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(Nematoda: Pratylenchidae) by rDNA amplification.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SD, Manzanilla-López RH, Franco J, Peteira B &amp; Kerry BR (2005) A molecular diagnostic method for detecting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in soil and in potato tubers.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193-202.</w:t>
      </w:r>
    </w:p>
    <w:p>
      <w:pPr>
        <w:widowControl w:val="on"/>
        <w:pBdr/>
        <w:spacing w:before="220" w:after="220" w:line="240" w:lineRule="auto"/>
        <w:ind w:left="0" w:right="0"/>
        <w:jc w:val="left"/>
      </w:pPr>
      <w:r>
        <w:rPr>
          <w:rFonts w:ascii="Calibri" w:hAnsi="Calibri" w:eastAsia="Calibri" w:cs="Calibri"/>
          <w:color w:val="000000"/>
          <w:sz w:val="22"/>
          <w:szCs w:val="22"/>
        </w:rPr>
        <w:t xml:space="preserve">Canto-Saenz M, Arcos MJ, Jatala P, Haddad R (1996) Morphology,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Peru.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197.</w:t>
      </w:r>
    </w:p>
    <w:p>
      <w:pPr>
        <w:widowControl w:val="on"/>
        <w:pBdr/>
        <w:spacing w:before="220" w:after="220" w:line="240" w:lineRule="auto"/>
        <w:ind w:left="0" w:right="0"/>
        <w:jc w:val="left"/>
      </w:pPr>
      <w:r>
        <w:rPr>
          <w:rFonts w:ascii="Calibri" w:hAnsi="Calibri" w:eastAsia="Calibri" w:cs="Calibri"/>
          <w:color w:val="000000"/>
          <w:sz w:val="22"/>
          <w:szCs w:val="22"/>
        </w:rPr>
        <w:t xml:space="preserve">Castiblanco O, Franco J &amp; Montecinos R (1999) Razas y gama de hospedantes en diferentes poblaciones del nematodo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85-96.</w:t>
      </w:r>
    </w:p>
    <w:p>
      <w:pPr>
        <w:widowControl w:val="on"/>
        <w:pBdr/>
        <w:spacing w:before="220" w:after="220" w:line="240" w:lineRule="auto"/>
        <w:ind w:left="0" w:right="0"/>
        <w:jc w:val="left"/>
      </w:pPr>
      <w:r>
        <w:rPr>
          <w:rFonts w:ascii="Calibri" w:hAnsi="Calibri" w:eastAsia="Calibri" w:cs="Calibri"/>
          <w:color w:val="000000"/>
          <w:sz w:val="22"/>
          <w:szCs w:val="22"/>
        </w:rPr>
        <w:t xml:space="preserve">Coolen WA (1979) Methods for the extraction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and other nematodes from roots and soil. In: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Systematics, Biology and Control (Eds Lamberti F &amp; Taylor CE), pp. 317–329. Academic Press,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Corrales Arango A (2007) Dinámica poblacional del ‘nematodo del rosario de la raíz’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las prácticas culturales del cultivo de tomate de mesa (</w:t>
      </w:r>
      <w:r>
        <w:rPr>
          <w:rFonts w:ascii="Calibri" w:hAnsi="Calibri" w:eastAsia="Calibri" w:cs="Calibri"/>
          <w:i/>
          <w:iCs/>
          <w:color w:val="000000"/>
          <w:sz w:val="22"/>
          <w:szCs w:val="22"/>
        </w:rPr>
        <w:t xml:space="preserve">Lycopersicum esculentum </w:t>
      </w:r>
      <w:r>
        <w:rPr>
          <w:rFonts w:ascii="Calibri" w:hAnsi="Calibri" w:eastAsia="Calibri" w:cs="Calibri"/>
          <w:color w:val="000000"/>
          <w:sz w:val="22"/>
          <w:szCs w:val="22"/>
        </w:rPr>
        <w:t xml:space="preserve">Mill) y pérdidas que causa. Ibarra-Imbabura (Degree Thesis). Universidad Técnica del Norte, Ibarra, Ecuador.</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(1985a) El falso nematode del nudo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(Thorne, 1935) Thorne &amp; Allen, 1944 y su relación con el cultivo de papa en el Noroeste argentino.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79-97.</w:t>
      </w:r>
    </w:p>
    <w:p>
      <w:pPr>
        <w:widowControl w:val="on"/>
        <w:pBdr/>
        <w:spacing w:before="220" w:after="220" w:line="240" w:lineRule="auto"/>
        <w:ind w:left="0" w:right="0"/>
        <w:jc w:val="left"/>
      </w:pPr>
      <w:r>
        <w:rPr>
          <w:rFonts w:ascii="Calibri" w:hAnsi="Calibri" w:eastAsia="Calibri" w:cs="Calibri"/>
          <w:color w:val="000000"/>
          <w:sz w:val="22"/>
          <w:szCs w:val="22"/>
        </w:rPr>
        <w:t xml:space="preserve">Costilla MA (1985b) Un método rápido para la extracción y observación de estados juveniles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tubérculos de papa</w:t>
      </w:r>
      <w:r>
        <w:rPr>
          <w:rFonts w:ascii="Calibri" w:hAnsi="Calibri" w:eastAsia="Calibri" w:cs="Calibri"/>
          <w:i/>
          <w:iCs/>
          <w:color w:val="000000"/>
          <w:sz w:val="22"/>
          <w:szCs w:val="22"/>
        </w:rPr>
        <w:t xml:space="preserve">. 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163-170.</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 AJ, Cid del Prado IV, Marbán-Mendoza N, Sánchez GP, Mora-Aguilera G &amp; Manzanilla LRH (2001) Sobrevivencia de estadios biológicos 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en condiciones de campo.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229-235.</w:t>
      </w:r>
    </w:p>
    <w:p>
      <w:pPr>
        <w:widowControl w:val="on"/>
        <w:pBdr/>
        <w:spacing w:before="220" w:after="220" w:line="240" w:lineRule="auto"/>
        <w:ind w:left="0" w:right="0"/>
        <w:jc w:val="left"/>
      </w:pPr>
      <w:r>
        <w:rPr>
          <w:rFonts w:ascii="Calibri" w:hAnsi="Calibri" w:eastAsia="Calibri" w:cs="Calibri"/>
          <w:color w:val="000000"/>
          <w:sz w:val="22"/>
          <w:szCs w:val="22"/>
        </w:rPr>
        <w:t xml:space="preserve">Cristóbal-Alejo J, Mora-Aguilera G, Manzanilla-López RH, Marbán-Mendoza N, Sánchez-García P, Cid del Prado Vera I &amp; Evans K (2006) Epidemiology and integrated control of </w:t>
      </w:r>
      <w:r>
        <w:rPr>
          <w:rFonts w:ascii="Calibri" w:hAnsi="Calibri" w:eastAsia="Calibri" w:cs="Calibri"/>
          <w:i/>
          <w:iCs/>
          <w:color w:val="000000"/>
          <w:sz w:val="22"/>
          <w:szCs w:val="22"/>
        </w:rPr>
        <w:t xml:space="preserve">Nacobbus aberrans </w:t>
      </w:r>
      <w:r>
        <w:rPr>
          <w:rFonts w:ascii="Calibri" w:hAnsi="Calibri" w:eastAsia="Calibri" w:cs="Calibri"/>
          <w:color w:val="000000"/>
          <w:sz w:val="22"/>
          <w:szCs w:val="22"/>
        </w:rPr>
        <w:t xml:space="preserve">on tomato in Mexico.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727-737.</w:t>
      </w:r>
    </w:p>
    <w:p>
      <w:pPr>
        <w:widowControl w:val="on"/>
        <w:pBdr/>
        <w:spacing w:before="220" w:after="220" w:line="240" w:lineRule="auto"/>
        <w:ind w:left="0" w:right="0"/>
        <w:jc w:val="left"/>
      </w:pPr>
      <w:r>
        <w:rPr>
          <w:rFonts w:ascii="Calibri" w:hAnsi="Calibri" w:eastAsia="Calibri" w:cs="Calibri"/>
          <w:color w:val="000000"/>
          <w:sz w:val="22"/>
          <w:szCs w:val="22"/>
        </w:rPr>
        <w:t xml:space="preserve">Doucet ME &amp; Lax P (2005)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El género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en Argentina. 6. La especie </w:t>
      </w:r>
      <w:r>
        <w:rPr>
          <w:rFonts w:ascii="Calibri" w:hAnsi="Calibri" w:eastAsia="Calibri" w:cs="Calibri"/>
          <w:i/>
          <w:iCs/>
          <w:color w:val="000000"/>
          <w:sz w:val="22"/>
          <w:szCs w:val="22"/>
        </w:rPr>
        <w:t xml:space="preserve">N. aberrans</w:t>
      </w:r>
      <w:r>
        <w:rPr>
          <w:rFonts w:ascii="Calibri" w:hAnsi="Calibri" w:eastAsia="Calibri" w:cs="Calibri"/>
          <w:color w:val="000000"/>
          <w:sz w:val="22"/>
          <w:szCs w:val="22"/>
        </w:rPr>
        <w:t xml:space="preserve"> (Thorne, 1935) Thorne &amp; Allen, 1944 (Nematoda: Tylenchida) y su relación con la agricultura. </w:t>
      </w:r>
      <w:r>
        <w:rPr>
          <w:rFonts w:ascii="Calibri" w:hAnsi="Calibri" w:eastAsia="Calibri" w:cs="Calibri"/>
          <w:i/>
          <w:iCs/>
          <w:color w:val="000000"/>
          <w:sz w:val="22"/>
          <w:szCs w:val="22"/>
        </w:rPr>
        <w:t xml:space="preserve">Anales de la Academia Nacional de Agronomía y Veterinaria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Pest categorisation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e05249. </w:t>
      </w:r>
      <w:hyperlink r:id="rId6082680442eb305f0" w:history="1">
        <w:r>
          <w:rPr>
            <w:rFonts w:ascii="Calibri" w:hAnsi="Calibri" w:eastAsia="Calibri" w:cs="Calibri"/>
            <w:color w:val="0000CC"/>
            <w:sz w:val="22"/>
            <w:szCs w:val="22"/>
            <w:u w:val="single"/>
          </w:rPr>
          <w:t xml:space="preserve">https://doi.org/10.2903/j.efsa.2018.5249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Diagnostics. PM 7/5(2)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376-381.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3/93 (1) Management of phytosanitary risks for potato crops resulting from movement of soil associated with root crops and potatoes.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418–435.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(1994) Problemas de nematodos en la producción de papa en climas templados en la región andina.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179-195.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Ortuño N, Oros R &amp; Main G (1996) Biology and management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on potato in Bolivia.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204.</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&amp; Main G (2008) Management of nematodes of Andean tuber and grain crops. In: </w:t>
      </w:r>
      <w:r>
        <w:rPr>
          <w:rFonts w:ascii="Calibri" w:hAnsi="Calibri" w:eastAsia="Calibri" w:cs="Calibri"/>
          <w:i/>
          <w:iCs/>
          <w:color w:val="000000"/>
          <w:sz w:val="22"/>
          <w:szCs w:val="22"/>
        </w:rPr>
        <w:t xml:space="preserve">Integrated Management and Biocontrol of Vegetable and Grain Crops Nematodes</w:t>
      </w:r>
      <w:r>
        <w:rPr>
          <w:rFonts w:ascii="Calibri" w:hAnsi="Calibri" w:eastAsia="Calibri" w:cs="Calibri"/>
          <w:color w:val="000000"/>
          <w:sz w:val="22"/>
          <w:szCs w:val="22"/>
        </w:rPr>
        <w:t xml:space="preserve">. Ciancio A, Mukerji KG (eds.). Springer, Dordrecht, Netherlands, 99-117.</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Di-Vito M &amp; Ferris H (1984) Influence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densities on growth of sugarbeet and kochia in pots.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RN, Chitambar JJ, Chitwood DJ &amp; Handoo ZA (2005) The potato pathotype of the false-root knot nematode,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A List of Exotic Nematode Plant Pests of Agricultural and Environmental Significance to the United States. University of Nebraska-Lincoln, Society of Nematologists, and USDA-APHIS.</w:t>
      </w:r>
    </w:p>
    <w:p>
      <w:pPr>
        <w:widowControl w:val="on"/>
        <w:pBdr/>
        <w:spacing w:before="220" w:after="220" w:line="240" w:lineRule="auto"/>
        <w:ind w:left="0" w:right="0"/>
        <w:jc w:val="left"/>
      </w:pPr>
      <w:r>
        <w:rPr>
          <w:rFonts w:ascii="Calibri" w:hAnsi="Calibri" w:eastAsia="Calibri" w:cs="Calibri"/>
          <w:color w:val="000000"/>
          <w:sz w:val="22"/>
          <w:szCs w:val="22"/>
        </w:rPr>
        <w:t xml:space="preserve">Jatala P &amp; Kaltenbach R (1979) Survival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in adverse conditions (Abstract).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JT, Haegeman A, Danchin EG, Gaur HS, Helder J, Jones MG, Kikuchi T, Manzanilla‐López R, Palomares‐Rius JE, Wesemael WM, Perry RN (2013) Top 10 plant‐parasitic nematodes in molecular plant pathology.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946-961.</w:t>
      </w:r>
    </w:p>
    <w:p>
      <w:pPr>
        <w:widowControl w:val="on"/>
        <w:pBdr/>
        <w:spacing w:before="220" w:after="220" w:line="240" w:lineRule="auto"/>
        <w:ind w:left="0" w:right="0"/>
        <w:jc w:val="left"/>
      </w:pPr>
      <w:r>
        <w:rPr>
          <w:rFonts w:ascii="Calibri" w:hAnsi="Calibri" w:eastAsia="Calibri" w:cs="Calibri"/>
          <w:color w:val="000000"/>
          <w:sz w:val="22"/>
          <w:szCs w:val="22"/>
        </w:rPr>
        <w:t xml:space="preserve">Lax P, Rondan Dueñas JC, Coronel NB, Gardenal CN, Bima P &amp; Doucet ME (2011) Host range study of Argentine </w:t>
      </w:r>
      <w:r>
        <w:rPr>
          <w:rFonts w:ascii="Calibri" w:hAnsi="Calibri" w:eastAsia="Calibri" w:cs="Calibri"/>
          <w:i/>
          <w:iCs/>
          <w:color w:val="000000"/>
          <w:sz w:val="22"/>
          <w:szCs w:val="22"/>
        </w:rPr>
        <w:t xml:space="preserve">Nacobbus aberrans sensu</w:t>
      </w:r>
      <w:r>
        <w:rPr>
          <w:rFonts w:ascii="Calibri" w:hAnsi="Calibri" w:eastAsia="Calibri" w:cs="Calibri"/>
          <w:color w:val="000000"/>
          <w:sz w:val="22"/>
          <w:szCs w:val="22"/>
        </w:rPr>
        <w:t xml:space="preserve"> Sher populations and comments on the differential host test.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1414-1420.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Tordable MC, Macagno J, Bima P &amp; Doucet ME (2013) Response of different potato cultivars to the presence of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83-90.</w:t>
      </w:r>
    </w:p>
    <w:p>
      <w:pPr>
        <w:widowControl w:val="on"/>
        <w:pBdr/>
        <w:spacing w:before="220" w:after="220" w:line="240" w:lineRule="auto"/>
        <w:ind w:left="0" w:right="0"/>
        <w:jc w:val="left"/>
      </w:pPr>
      <w:r>
        <w:rPr>
          <w:rFonts w:ascii="Calibri" w:hAnsi="Calibri" w:eastAsia="Calibri" w:cs="Calibri"/>
          <w:color w:val="000000"/>
          <w:sz w:val="22"/>
          <w:szCs w:val="22"/>
        </w:rPr>
        <w:t xml:space="preserve">Lax P, Gonzalez-Ittig RE, Rondan Dueñas JC, Andrade AJ, Gardenal CN, Franco J &amp; Doucet ME (2021) Decrypting species in the </w:t>
      </w:r>
      <w:r>
        <w:rPr>
          <w:rFonts w:ascii="Calibri" w:hAnsi="Calibri" w:eastAsia="Calibri" w:cs="Calibri"/>
          <w:i/>
          <w:iCs/>
          <w:color w:val="000000"/>
          <w:sz w:val="22"/>
          <w:szCs w:val="22"/>
        </w:rPr>
        <w:t xml:space="preserve">Nacobbus aberrans</w:t>
      </w:r>
      <w:r>
        <w:rPr>
          <w:rFonts w:ascii="Calibri" w:hAnsi="Calibri" w:eastAsia="Calibri" w:cs="Calibri"/>
          <w:color w:val="000000"/>
          <w:sz w:val="22"/>
          <w:szCs w:val="22"/>
        </w:rPr>
        <w:t xml:space="preserve"> (Nematoda: Pratylenchidae) complex using integrative taxonomy. </w:t>
      </w:r>
      <w:r>
        <w:rPr>
          <w:rFonts w:ascii="Calibri" w:hAnsi="Calibri" w:eastAsia="Calibri" w:cs="Calibri"/>
          <w:i/>
          <w:iCs/>
          <w:color w:val="000000"/>
          <w:sz w:val="22"/>
          <w:szCs w:val="22"/>
        </w:rPr>
        <w:t xml:space="preserve">Zoologica Scripta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667-688.</w:t>
      </w:r>
    </w:p>
    <w:p>
      <w:pPr>
        <w:widowControl w:val="on"/>
        <w:pBdr/>
        <w:spacing w:before="220" w:after="220" w:line="240" w:lineRule="auto"/>
        <w:ind w:left="0" w:right="0"/>
        <w:jc w:val="left"/>
      </w:pPr>
      <w:r>
        <w:rPr>
          <w:rFonts w:ascii="Calibri" w:hAnsi="Calibri" w:eastAsia="Calibri" w:cs="Calibri"/>
          <w:color w:val="000000"/>
          <w:sz w:val="22"/>
          <w:szCs w:val="22"/>
        </w:rPr>
        <w:t xml:space="preserve">Lax P, Passone MA, Becerra AG, Sosa AL, Ciancio A, Finetti Sialer MM &amp; Rosso LC (2022) Sustainable strategies for management of the ‘false root-knot nematode’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Frontiers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1046315. </w:t>
      </w:r>
      <w:hyperlink r:id="rId3930680442eb30c60" w:history="1">
        <w:r>
          <w:rPr>
            <w:rFonts w:ascii="Calibri" w:hAnsi="Calibri" w:eastAsia="Calibri" w:cs="Calibri"/>
            <w:color w:val="0000CC"/>
            <w:sz w:val="22"/>
            <w:szCs w:val="22"/>
            <w:u w:val="single"/>
          </w:rPr>
          <w:t xml:space="preserve">https://doi.org/10.3389/fpls.2022.1046315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Manzanilla-López RH, Costilla MA, Doucet M, Inserra RN, Lehman PS, Cid del Prado-Vera I, Souza RM &amp; Evans K (2002) The genus </w:t>
      </w:r>
      <w:r>
        <w:rPr>
          <w:rFonts w:ascii="Calibri" w:hAnsi="Calibri" w:eastAsia="Calibri" w:cs="Calibri"/>
          <w:i/>
          <w:iCs/>
          <w:color w:val="000000"/>
          <w:sz w:val="22"/>
          <w:szCs w:val="22"/>
        </w:rPr>
        <w:t xml:space="preserve">Nacobbus</w:t>
      </w:r>
      <w:r>
        <w:rPr>
          <w:rFonts w:ascii="Calibri" w:hAnsi="Calibri" w:eastAsia="Calibri" w:cs="Calibri"/>
          <w:color w:val="000000"/>
          <w:sz w:val="22"/>
          <w:szCs w:val="22"/>
        </w:rPr>
        <w:t xml:space="preserve"> Thorne &amp; Allen, 1944 (Nematoda: Pratylenchidae): systematics, distribution, biology and management.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149-227.</w:t>
      </w:r>
    </w:p>
    <w:p>
      <w:pPr>
        <w:widowControl w:val="on"/>
        <w:pBdr/>
        <w:spacing w:before="220" w:after="220" w:line="240" w:lineRule="auto"/>
        <w:ind w:left="0" w:right="0"/>
        <w:jc w:val="left"/>
      </w:pPr>
      <w:r>
        <w:rPr>
          <w:rFonts w:ascii="Calibri" w:hAnsi="Calibri" w:eastAsia="Calibri" w:cs="Calibri"/>
          <w:color w:val="000000"/>
          <w:sz w:val="22"/>
          <w:szCs w:val="22"/>
        </w:rPr>
        <w:t xml:space="preserve">Ortuño N, Oros R, Main G &amp; Franco J (1996) Detección de nematodos por el método de la bolsa cerrada. </w:t>
      </w:r>
      <w:r>
        <w:rPr>
          <w:rFonts w:ascii="Calibri" w:hAnsi="Calibri" w:eastAsia="Calibri" w:cs="Calibri"/>
          <w:i/>
          <w:iCs/>
          <w:color w:val="000000"/>
          <w:sz w:val="22"/>
          <w:szCs w:val="22"/>
        </w:rPr>
        <w:t xml:space="preserve">Serie Ficha Técnica</w:t>
      </w:r>
      <w:r>
        <w:rPr>
          <w:rFonts w:ascii="Calibri" w:hAnsi="Calibri" w:eastAsia="Calibri" w:cs="Calibri"/>
          <w:color w:val="000000"/>
          <w:sz w:val="22"/>
          <w:szCs w:val="22"/>
        </w:rPr>
        <w:t xml:space="preserve"> 2/96.</w:t>
      </w:r>
    </w:p>
    <w:p>
      <w:pPr>
        <w:widowControl w:val="on"/>
        <w:pBdr/>
        <w:spacing w:before="220" w:after="220" w:line="240" w:lineRule="auto"/>
        <w:ind w:left="0" w:right="0"/>
        <w:jc w:val="left"/>
      </w:pPr>
      <w:r>
        <w:rPr>
          <w:rFonts w:ascii="Calibri" w:hAnsi="Calibri" w:eastAsia="Calibri" w:cs="Calibri"/>
          <w:color w:val="000000"/>
          <w:sz w:val="22"/>
          <w:szCs w:val="22"/>
        </w:rPr>
        <w:t xml:space="preserve">Sher SA (1970) Revision of the genus </w:t>
      </w:r>
      <w:r>
        <w:rPr>
          <w:rFonts w:ascii="Calibri" w:hAnsi="Calibri" w:eastAsia="Calibri" w:cs="Calibri"/>
          <w:i/>
          <w:iCs/>
          <w:color w:val="000000"/>
          <w:sz w:val="22"/>
          <w:szCs w:val="22"/>
        </w:rPr>
        <w:t xml:space="preserve">Nacobbus </w:t>
      </w:r>
      <w:r>
        <w:rPr>
          <w:rFonts w:ascii="Calibri" w:hAnsi="Calibri" w:eastAsia="Calibri" w:cs="Calibri"/>
          <w:color w:val="000000"/>
          <w:sz w:val="22"/>
          <w:szCs w:val="22"/>
        </w:rPr>
        <w:t xml:space="preserve">Thorne and Allen, 1944 (Nematoda: Tylenchoidea).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228-235.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Paola Lax, Instituto de Diversidad y Ecología Animal (CONICET-UNC), Facultad de Ciencias Exactas, Físicas y Naturales, Universidad Nacional de Córdoba, Córdoba,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Nacobbus aberrans sensu lato</w:t>
      </w:r>
      <w:r>
        <w:rPr>
          <w:rFonts w:ascii="Calibri" w:hAnsi="Calibri" w:eastAsia="Calibri" w:cs="Calibri"/>
          <w:color w:val="000000"/>
          <w:sz w:val="22"/>
          <w:szCs w:val="22"/>
        </w:rPr>
        <w:t xml:space="preserve">. EPPO datasheets on pests recommended for regulation. Available online. </w:t>
      </w:r>
      <w:hyperlink r:id="rId4173680442eb30f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144, </w:t>
      </w:r>
      <w:r>
        <w:rPr>
          <w:rFonts w:ascii="Calibri" w:hAnsi="Calibri" w:eastAsia="Calibri" w:cs="Calibri"/>
          <w:i/>
          <w:iCs/>
          <w:color w:val="000000"/>
          <w:sz w:val="22"/>
          <w:szCs w:val="22"/>
        </w:rPr>
        <w:t xml:space="preserve">Nacobbus aberrans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61-66. </w:t>
      </w:r>
      <w:hyperlink r:id="rId9723680442eb3115b" w:history="1">
        <w:r>
          <w:rPr>
            <w:rFonts w:ascii="Calibri" w:hAnsi="Calibri" w:eastAsia="Calibri" w:cs="Calibri"/>
            <w:color w:val="0000CC"/>
            <w:sz w:val="22"/>
            <w:szCs w:val="22"/>
            <w:u w:val="single"/>
          </w:rPr>
          <w:t xml:space="preserve">https://doi.org/10.1111/j.1365-2338.1984.tb01983.x</w:t>
        </w:r>
      </w:hyperlink>
    </w:p>
    <w:p>
      <w:r>
        <w:drawing>
          <wp:inline distT="0" distB="0" distL="0" distR="0">
            <wp:extent cx="1800000" cy="604800"/>
            <wp:docPr id="30645976" name="name8406680442eb312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56680442eb3120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027029">
    <w:multiLevelType w:val="hybridMultilevel"/>
    <w:lvl w:ilvl="0" w:tplc="19073154">
      <w:start w:val="1"/>
      <w:numFmt w:val="decimal"/>
      <w:lvlText w:val="%1."/>
      <w:lvlJc w:val="left"/>
      <w:pPr>
        <w:ind w:left="720" w:hanging="360"/>
      </w:pPr>
    </w:lvl>
    <w:lvl w:ilvl="1" w:tplc="19073154" w:tentative="1">
      <w:start w:val="1"/>
      <w:numFmt w:val="lowerLetter"/>
      <w:lvlText w:val="%2."/>
      <w:lvlJc w:val="left"/>
      <w:pPr>
        <w:ind w:left="1440" w:hanging="360"/>
      </w:pPr>
    </w:lvl>
    <w:lvl w:ilvl="2" w:tplc="19073154" w:tentative="1">
      <w:start w:val="1"/>
      <w:numFmt w:val="lowerRoman"/>
      <w:lvlText w:val="%3."/>
      <w:lvlJc w:val="right"/>
      <w:pPr>
        <w:ind w:left="2160" w:hanging="180"/>
      </w:pPr>
    </w:lvl>
    <w:lvl w:ilvl="3" w:tplc="19073154" w:tentative="1">
      <w:start w:val="1"/>
      <w:numFmt w:val="decimal"/>
      <w:lvlText w:val="%4."/>
      <w:lvlJc w:val="left"/>
      <w:pPr>
        <w:ind w:left="2880" w:hanging="360"/>
      </w:pPr>
    </w:lvl>
    <w:lvl w:ilvl="4" w:tplc="19073154" w:tentative="1">
      <w:start w:val="1"/>
      <w:numFmt w:val="lowerLetter"/>
      <w:lvlText w:val="%5."/>
      <w:lvlJc w:val="left"/>
      <w:pPr>
        <w:ind w:left="3600" w:hanging="360"/>
      </w:pPr>
    </w:lvl>
    <w:lvl w:ilvl="5" w:tplc="19073154" w:tentative="1">
      <w:start w:val="1"/>
      <w:numFmt w:val="lowerRoman"/>
      <w:lvlText w:val="%6."/>
      <w:lvlJc w:val="right"/>
      <w:pPr>
        <w:ind w:left="4320" w:hanging="180"/>
      </w:pPr>
    </w:lvl>
    <w:lvl w:ilvl="6" w:tplc="19073154" w:tentative="1">
      <w:start w:val="1"/>
      <w:numFmt w:val="decimal"/>
      <w:lvlText w:val="%7."/>
      <w:lvlJc w:val="left"/>
      <w:pPr>
        <w:ind w:left="5040" w:hanging="360"/>
      </w:pPr>
    </w:lvl>
    <w:lvl w:ilvl="7" w:tplc="19073154" w:tentative="1">
      <w:start w:val="1"/>
      <w:numFmt w:val="lowerLetter"/>
      <w:lvlText w:val="%8."/>
      <w:lvlJc w:val="left"/>
      <w:pPr>
        <w:ind w:left="5760" w:hanging="360"/>
      </w:pPr>
    </w:lvl>
    <w:lvl w:ilvl="8" w:tplc="19073154" w:tentative="1">
      <w:start w:val="1"/>
      <w:numFmt w:val="lowerRoman"/>
      <w:lvlText w:val="%9."/>
      <w:lvlJc w:val="right"/>
      <w:pPr>
        <w:ind w:left="6480" w:hanging="180"/>
      </w:pPr>
    </w:lvl>
  </w:abstractNum>
  <w:abstractNum w:abstractNumId="86027028">
    <w:multiLevelType w:val="hybridMultilevel"/>
    <w:lvl w:ilvl="0" w:tplc="2081493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027028">
    <w:abstractNumId w:val="86027028"/>
  </w:num>
  <w:num w:numId="86027029">
    <w:abstractNumId w:val="860270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2731589" Type="http://schemas.microsoft.com/office/2011/relationships/commentsExtended" Target="commentsExtended.xml"/><Relationship Id="rId876081982" Type="http://schemas.microsoft.com/office/2011/relationships/people" Target="people.xml"/><Relationship Id="rId8341680442eb2cc3b" Type="http://schemas.openxmlformats.org/officeDocument/2006/relationships/hyperlink" Target="https://gd.eppo.int/taxon/NACOBA/" TargetMode="External"/><Relationship Id="rId8258680442eb2ccaa" Type="http://schemas.openxmlformats.org/officeDocument/2006/relationships/hyperlink" Target="https://gd.eppo.int/taxon/NACOBA/categorization" TargetMode="External"/><Relationship Id="rId6534680442eb2da5f" Type="http://schemas.openxmlformats.org/officeDocument/2006/relationships/hyperlink" Target="https://gd.eppo.int/taxon/NACOBA/photos" TargetMode="External"/><Relationship Id="rId6082680442eb305f0" Type="http://schemas.openxmlformats.org/officeDocument/2006/relationships/hyperlink" Target="https://doi.org/10.2903/j.efsa.2018.5249" TargetMode="External"/><Relationship Id="rId3930680442eb30c60" Type="http://schemas.openxmlformats.org/officeDocument/2006/relationships/hyperlink" Target="https://doi.org/10.3389/fpls.2022.1046315" TargetMode="External"/><Relationship Id="rId4173680442eb30fd3" Type="http://schemas.openxmlformats.org/officeDocument/2006/relationships/hyperlink" Target="https://gd.eppo.int" TargetMode="External"/><Relationship Id="rId9723680442eb3115b" Type="http://schemas.openxmlformats.org/officeDocument/2006/relationships/hyperlink" Target="https://doi.org/10.1111/j.1365-2338.1984.tb01983.x" TargetMode="External"/><Relationship Id="rId6249680442eb2d8cb" Type="http://schemas.openxmlformats.org/officeDocument/2006/relationships/image" Target="media/imgrId6249680442eb2d8cb.jpg"/><Relationship Id="rId8933680442eb2f3e1" Type="http://schemas.openxmlformats.org/officeDocument/2006/relationships/image" Target="media/imgrId8933680442eb2f3e1.jpg"/><Relationship Id="rId4856680442eb31205" Type="http://schemas.openxmlformats.org/officeDocument/2006/relationships/image" Target="media/imgrId4856680442eb312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