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Naupactus xanthographus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2022-08-30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Naupactus xanthographus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(Germar)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Entiminae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Leptocerus xanthographus</w:t>
            </w:r>
            <w:r>
              <w:rPr>
                <w:rFonts w:ascii="Calibri" w:hAnsi="Calibri" w:eastAsia="Calibri" w:cs="Calibri"/>
                <w:color w:val="000000"/>
                <w:position w:val="-3"/>
                <w:sz w:val="22"/>
                <w:szCs w:val="22"/>
              </w:rPr>
              <w:t xml:space="preserve"> Germar, </w:t>
            </w:r>
            <w:r>
              <w:rPr>
                <w:rFonts w:ascii="Calibri" w:hAnsi="Calibri" w:eastAsia="Calibri" w:cs="Calibri"/>
                <w:i/>
                <w:iCs/>
                <w:color w:val="000000"/>
                <w:position w:val="-3"/>
                <w:sz w:val="22"/>
                <w:szCs w:val="22"/>
              </w:rPr>
              <w:t xml:space="preserve">Pantomorus xanthographus</w:t>
            </w:r>
            <w:r>
              <w:rPr>
                <w:rFonts w:ascii="Calibri" w:hAnsi="Calibri" w:eastAsia="Calibri" w:cs="Calibri"/>
                <w:color w:val="000000"/>
                <w:position w:val="-3"/>
                <w:sz w:val="22"/>
                <w:szCs w:val="22"/>
              </w:rPr>
              <w:t xml:space="preserve"> Durán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 American fruit tree weevil, grapevine weevil</w:t>
            </w:r>
            <w:hyperlink r:id="rId1777669e6e5c86a7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 Alert list (formerly)</w:t>
            </w:r>
            <w:hyperlink r:id="rId1980669e6e5c86ac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NAUPXA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221053" name="name2214669e6e5c871fc" descr="10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61.jpg"/>
                          <pic:cNvPicPr/>
                        </pic:nvPicPr>
                        <pic:blipFill>
                          <a:blip r:embed="rId3237669e6e5c871fa" cstate="print"/>
                          <a:stretch>
                            <a:fillRect/>
                          </a:stretch>
                        </pic:blipFill>
                        <pic:spPr>
                          <a:xfrm>
                            <a:off x="0" y="0"/>
                            <a:ext cx="2160000" cy="1281600"/>
                          </a:xfrm>
                          <a:prstGeom prst="rect">
                            <a:avLst/>
                          </a:prstGeom>
                          <a:ln w="0">
                            <a:noFill/>
                          </a:ln>
                        </pic:spPr>
                      </pic:pic>
                    </a:graphicData>
                  </a:graphic>
                </wp:inline>
              </w:drawing>
            </w:r>
            <w:hyperlink r:id="rId4626669e6e5c8732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(Dejean 1821) is a neotropical genus of broad-nosed weevils containing approximately 200 species distributed from Southern Mexico to Argentina (del Río &amp; Lanteri, 2019). </w:t>
      </w: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was first described by Germar in 1824, who previously classified the species as </w:t>
      </w:r>
      <w:r>
        <w:rPr>
          <w:rFonts w:ascii="Calibri" w:hAnsi="Calibri" w:eastAsia="Calibri" w:cs="Calibri"/>
          <w:i/>
          <w:iCs/>
          <w:color w:val="000000"/>
          <w:sz w:val="22"/>
          <w:szCs w:val="22"/>
        </w:rPr>
        <w:t xml:space="preserve">Leptocerus xanthographus</w:t>
      </w:r>
      <w:r>
        <w:rPr>
          <w:rFonts w:ascii="Calibri" w:hAnsi="Calibri" w:eastAsia="Calibri" w:cs="Calibri"/>
          <w:color w:val="000000"/>
          <w:sz w:val="22"/>
          <w:szCs w:val="22"/>
        </w:rPr>
        <w:t xml:space="preserve"> (Elgueta &amp; Marvaldi,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0" w:after="0" w:line="240" w:lineRule="auto"/>
        <w:ind w:left="0" w:right="0"/>
        <w:jc w:val="both"/>
      </w:pP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has been recorded on many woody plants, but also on some herbaceous hosts, in-cluding field crops such as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and weeds. Many cultivated woody fruit trees and bushes are hosts, including several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species. In South America,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is one of its preferred host plants (Lanteri &amp; del Río, 2017). In its native range in South America, </w:t>
      </w:r>
      <w:r>
        <w:rPr>
          <w:rFonts w:ascii="Calibri" w:hAnsi="Calibri" w:eastAsia="Calibri" w:cs="Calibri"/>
          <w:i/>
          <w:iCs/>
          <w:color w:val="000000"/>
          <w:sz w:val="22"/>
          <w:szCs w:val="22"/>
        </w:rPr>
        <w:t xml:space="preserve">N. xanthographus </w:t>
      </w:r>
      <w:r>
        <w:rPr>
          <w:rFonts w:ascii="Calibri" w:hAnsi="Calibri" w:eastAsia="Calibri" w:cs="Calibri"/>
          <w:color w:val="000000"/>
          <w:sz w:val="22"/>
          <w:szCs w:val="22"/>
        </w:rPr>
        <w:t xml:space="preserve">has moved onto many new host plants, including recent commercial crops, exotic to that continent, such as blueberries. It is noted that all </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species are polyphagous, but that they show host preferences.</w:t>
      </w: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deflexus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Conium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crista-galli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paraguariensis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Mespilus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pulcher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both"/>
      </w:pP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is native to South America, East of the Andes. The native range includes Southern Brazil, Paraguay, Uruguay and Central-Northeastern Argentina. The species is non-native to Chile, where it was first introduced in the 1920s–1930s (Gonzalez, 1983). It has also been introduced to the Juan Fernandez Islands and Easter Island (Guzmán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Lanteri &amp; del Río, 2017). The species is not known to be established anywhere outside of South America.</w:t>
      </w:r>
      <w:r>
        <w:drawing>
          <wp:inline distT="0" distB="0" distL="0" distR="0">
            <wp:extent cx="6120000" cy="3067200"/>
            <wp:docPr id="8358879" name="name1595669e6e5c88bab" descr="NAUPX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PXA_distribution_map.jpg"/>
                    <pic:cNvPicPr/>
                  </pic:nvPicPr>
                  <pic:blipFill>
                    <a:blip r:embed="rId7356669e6e5c88ba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(Rio Grande do Sul, Santa Catarina), Chile (Easter Island), Paraguay, Uruguay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reproduces sexually and the female lay eggs in clusters in the upper parts of the plants (normally in protected areas such as crevices, e.g. within cracks of bark) (Luppichini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female can lay between 200 and 600 eggs during her lifetime (R. Ripa, pers. comm. 2019). On grapevine, eggs are usually laid on the upper part of the trunk or on  branches in plant parts protected from the sun. Eggs may incidentally be laid in dried rolled leaves, although this has only been observed on citrus leaves (R. Ripa, pers. comm. 2019) or where  leaves have been rolled by mechanical damage or other pests (e.g. tortricids in tender leaves in peaches) (Ripa, 1992).</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eggs are laid in summer and autumn (January to the end of March or the beginning of April) (González, 1989). Egg development time varies depending on the ambient temperatures. In the field, egg development probably takes at least 30 days in the summer (A. Lanteri, pers. comm. 2019). Newly hatched larvae fall to the ground, enter the soil and start to feed on the rootlets of the host plants. The larvae generally live in the soil at depths of 20–60 cm, and rarely below that, although they have been recorded up to 120 cm in certain soil textures (Ripa, 1992; R. Ripa, pers. comm. 2019). The development of the larval stage takes on average 9 months, with five instars in total (R. Ripa, pers. comm. 2019). According to Ripa (1992), in Chile, there are larvae in the soil throughout the year.</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occurs in the soil in a pupal cell which is lined with body secretions. The development of the pupal cell and pupation occur at depths of 20–30 cm below the surface (R. Ripa, pers. comm. 2019; Vicchi, 2014). The pupal stage requires about 30 days before the adult starts to emerge. On emergence, the adult requires at least 30 days in the soil to mature and harden the exoskeleton before it can bore an exit gallery to the surface of the soil (R. Ripa, pers. comm.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generally univoltine (i.e. has one generation per year), although the life cycle may be prolonged according to climatic conditions. In the literature, the life cycle is reported to take between 12 and 16 months (Luppichini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Lanteri &amp; del Río, 2017 citing González, 1983 and Ripa, 1986; Ripa, 1992). However, in dry areas and during very dry summers, the larval development is longer and will continue until the next spring or summer. In this case the life cycle lasts 16–18 months (A. Lanteri, pers. comm. 2019). Some life stages (larvae, pupae, adults) are present in the soil throughout the year.</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two main peaks of adult emergence: the first is in late spring (starting in September) and the second in early summer (starting in December); a third may occur in late summer to early autumn (March to April in Chile, Valparaiso region; Ripa, 1986). According to Caballero (1972), adults can live for 8 months in laboratory conditions. However, other observations under laboratory conditions have observed a maximum survival of 4 months for adults (A. Lanteri, pers. comm. 2019). Adults feed on the aerial parts of host plants (predominantly leaves but also flower buds and leaf buds). Although feeding on fruit has been mentioned in the literature, it is considered highly unlikely because the mouthparts of the adults are not suited to this (EPPO, 2020). Following mating, females can oviposit 30–35 days after emergence from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generally seen above ground when temperatures are between 15 and 40°C, but they are more frequent over 25°C. At low temperatures (5–10°C) adults become very slow. Below 1–2°C, they are completely immobile. There are no data on survival below 0°C but it is expected that they may survive for short periods (24–48 h) at temperatures below 0°C (R. Ripa, pers. comm. 2019). Adults stop emerging from the soil in the autumn months, when the temperatures in the soil fall below 13.5°C (in Chile around the month of May until September to October) (Ripa, 1992).</w:t>
      </w:r>
    </w:p>
    <w:p>
      <w:pPr>
        <w:widowControl w:val="on"/>
        <w:pBdr/>
        <w:spacing w:before="220" w:after="220" w:line="240" w:lineRule="auto"/>
        <w:ind w:left="0" w:right="0"/>
        <w:jc w:val="both"/>
      </w:pPr>
      <w:r>
        <w:rPr>
          <w:rFonts w:ascii="Calibri" w:hAnsi="Calibri" w:eastAsia="Calibri" w:cs="Calibri"/>
          <w:color w:val="000000"/>
          <w:sz w:val="22"/>
          <w:szCs w:val="22"/>
        </w:rPr>
        <w:t xml:space="preserve">Humidity is very important for survival of eggs and larvae, and is essential for the emergence of adults (they usually emerge after rain or irrigation). In South America, the distribution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is limited by minimum and maximum precipitation levels (1000–2000 mm maximum annual precipitation), except when crops are irrigated. Artificial irrigation is essential for the survival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in Mendoza province (Argentina) and the central area of Chile, where the environment is very dry (A. Lanteri, pers. comm.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Above-ground foliage can show feeding damage where the adults feed from the margins of the leaves and create semicircular indentations. On grapevine, the most obvious damage is caused by adults that feed on leaves as well as buds when no leaves are available and produce ‘notching’ on the leaf margins (González, 1989; Ripa, 1992). Infestation may cause a decrease in size of shoots, leaves or bunches of grapes, as well as signs similar to potassium deficiency (R. Ripa, pers. comm. 2019).</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damage (grooves) caused by larvae may be visible on the thicker roots along with an absence of small roots if the host plant is uprooted. Feeding on the roots may also cause symptoms above ground, i.e. reduced foliage and growth. Plants appear weak and show chlorosis because of the reduced water and nutrient uptake and potassium deficiency. Severe larval damage on the roots produces wilting of the foliage and may kill the plants (González, 1989; Ripa,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0" w:after="0" w:line="240" w:lineRule="auto"/>
        <w:ind w:left="0" w:right="0"/>
        <w:jc w:val="both"/>
      </w:pPr>
      <w:r>
        <w:rPr>
          <w:rFonts w:ascii="Calibri" w:hAnsi="Calibri" w:eastAsia="Calibri" w:cs="Calibri"/>
          <w:b/>
          <w:b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(ellipsoidal and bluntly rounded at the ends) and yellow, and between 1 and 1.2 mm in length (Luppichini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Eggs are often arranged in clusters of 25–45 eggs in which they adhere to each other with a residue (sticky at egg laying).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legless, white in colour with brown head capsule and mandibles. First-instar larvae measure approximately 1.5 mm and mature larvae can reach up to 20 mm. The last abdominal segment has four thin dark bands. Morphological identification of larvae is difficult and therefore larvae should be reared to adults to allow identification.</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creamy white (or slightly yellowish), changing to brown before eclosion, and are 11–22 mm in length (Loiácono &amp; Diaz, 1992, citing others), although 22 mm could be an outlier and a more normal maximum would be 15 mm (R. Ripa, pers. comm. 2019).</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brown or grey-brown with white or white/yellow stripes on pronotum and elytra. They can be dark brown when they age. Adults show a high level of sexual dimorphism. The body length of females is 12–16 mm and that of males is smaller, 11–13 mm. Female rostrum is 1–1.5x as long as wide at the apex. Males are more slender than females with their rostrum being 1.25x as long as wide. Morphological characters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adults are given in several publications, with the most recent being Lanteri and del Río (2017). Morphologically, adults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can be confused with other species of the same genus, such as </w:t>
      </w:r>
      <w:r>
        <w:rPr>
          <w:rFonts w:ascii="Calibri" w:hAnsi="Calibri" w:eastAsia="Calibri" w:cs="Calibri"/>
          <w:i/>
          <w:iCs/>
          <w:color w:val="000000"/>
          <w:sz w:val="22"/>
          <w:szCs w:val="22"/>
        </w:rPr>
        <w:t xml:space="preserve">N. dissimilis, N. mimicus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N. navicularis</w:t>
      </w:r>
      <w:r>
        <w:rPr>
          <w:rFonts w:ascii="Calibri" w:hAnsi="Calibri" w:eastAsia="Calibri" w:cs="Calibri"/>
          <w:color w:val="000000"/>
          <w:sz w:val="22"/>
          <w:szCs w:val="22"/>
        </w:rPr>
        <w:t xml:space="preserve"> (Lanteri &amp; del Río, 2017), but can be distinguished from </w:t>
      </w:r>
      <w:r>
        <w:rPr>
          <w:rFonts w:ascii="Calibri" w:hAnsi="Calibri" w:eastAsia="Calibri" w:cs="Calibri"/>
          <w:i/>
          <w:iCs/>
          <w:color w:val="000000"/>
          <w:sz w:val="22"/>
          <w:szCs w:val="22"/>
        </w:rPr>
        <w:t xml:space="preserve">N. leucoloma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N. cervinus.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damage by larvae on roots may be detected if the host plant is uprooted, and there may also be above-ground symptoms (see 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damage of adults on the aerial parts of the plants may also be visible. The feeding damage by adults can be mistaken for other weevil species, particularly broad-nosed weevils. On grapevine, adults are particularly injurious to young plants and sprouting of plants in spring. A low abundance of the species (all life stages) is difficult to detect.</w:t>
      </w:r>
    </w:p>
    <w:p>
      <w:pPr>
        <w:widowControl w:val="on"/>
        <w:pBdr/>
        <w:spacing w:before="220" w:after="220" w:line="240" w:lineRule="auto"/>
        <w:ind w:left="0" w:right="0"/>
        <w:jc w:val="both"/>
      </w:pPr>
      <w:r>
        <w:rPr>
          <w:rFonts w:ascii="Calibri" w:hAnsi="Calibri" w:eastAsia="Calibri" w:cs="Calibri"/>
          <w:color w:val="000000"/>
          <w:sz w:val="22"/>
          <w:szCs w:val="22"/>
        </w:rPr>
        <w:t xml:space="preserve">As an alternative to morphological identification of adults, molecular methods can be used and are detailed in a number of publications (e.g. del Río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There are over 160 accessions entered in the GenBank database (2019) and barcodes based on Cytochrome oxidase 1 (COI) are available (e.g. see </w:t>
      </w:r>
      <w:hyperlink r:id="rId8615669e6e5c8935c" w:history="1">
        <w:r>
          <w:rPr>
            <w:rFonts w:ascii="Calibri" w:hAnsi="Calibri" w:eastAsia="Calibri" w:cs="Calibri"/>
            <w:color w:val="0000CC"/>
            <w:sz w:val="22"/>
            <w:szCs w:val="22"/>
            <w:u w:val="single"/>
          </w:rPr>
          <w:t xml:space="preserve">http://boldsystems.org</w:t>
        </w:r>
      </w:hyperlink>
      <w:r>
        <w:rPr>
          <w:rFonts w:ascii="Calibri" w:hAnsi="Calibri" w:eastAsia="Calibri" w:cs="Calibri"/>
          <w:color w:val="000000"/>
          <w:sz w:val="22"/>
          <w:szCs w:val="22"/>
        </w:rPr>
        <w:t xml:space="preserve"> and EPPO-Q-bank </w:t>
      </w:r>
      <w:hyperlink r:id="rId3051669e6e5c89381" w:history="1">
        <w:r>
          <w:rPr>
            <w:rFonts w:ascii="Calibri" w:hAnsi="Calibri" w:eastAsia="Calibri" w:cs="Calibri"/>
            <w:color w:val="0000CC"/>
            <w:sz w:val="22"/>
            <w:szCs w:val="22"/>
            <w:u w:val="single"/>
          </w:rPr>
          <w:t xml:space="preserve">https://qbank.eppo.int</w:t>
        </w:r>
      </w:hyperlink>
      <w:r>
        <w:rPr>
          <w:rFonts w:ascii="Calibri" w:hAnsi="Calibri" w:eastAsia="Calibri" w:cs="Calibri"/>
          <w:color w:val="000000"/>
          <w:sz w:val="22"/>
          <w:szCs w:val="22"/>
        </w:rPr>
        <w:t xml:space="preserve">). A PCR method was developed to differentiate </w:t>
      </w:r>
      <w:r>
        <w:rPr>
          <w:rFonts w:ascii="Calibri" w:hAnsi="Calibri" w:eastAsia="Calibri" w:cs="Calibri"/>
          <w:i/>
          <w:iCs/>
          <w:color w:val="000000"/>
          <w:sz w:val="22"/>
          <w:szCs w:val="22"/>
        </w:rPr>
        <w:t xml:space="preserve">N. xanthographus </w:t>
      </w:r>
      <w:r>
        <w:rPr>
          <w:rFonts w:ascii="Calibri" w:hAnsi="Calibri" w:eastAsia="Calibri" w:cs="Calibri"/>
          <w:color w:val="000000"/>
          <w:sz w:val="22"/>
          <w:szCs w:val="22"/>
        </w:rPr>
        <w:t xml:space="preserve">from </w:t>
      </w:r>
      <w:r>
        <w:rPr>
          <w:rFonts w:ascii="Calibri" w:hAnsi="Calibri" w:eastAsia="Calibri" w:cs="Calibri"/>
          <w:i/>
          <w:iCs/>
          <w:color w:val="000000"/>
          <w:sz w:val="22"/>
          <w:szCs w:val="22"/>
        </w:rPr>
        <w:t xml:space="preserve">N. cervinus</w:t>
      </w:r>
      <w:r>
        <w:rPr>
          <w:rFonts w:ascii="Calibri" w:hAnsi="Calibri" w:eastAsia="Calibri" w:cs="Calibri"/>
          <w:color w:val="000000"/>
          <w:sz w:val="22"/>
          <w:szCs w:val="22"/>
        </w:rPr>
        <w:t xml:space="preserve"> (aiming at distinguishing eggs in traded commodities; Aguirre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also Aguirre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This may be relevant for detection of introductions in the EPPO region because </w:t>
      </w:r>
      <w:r>
        <w:rPr>
          <w:rFonts w:ascii="Calibri" w:hAnsi="Calibri" w:eastAsia="Calibri" w:cs="Calibri"/>
          <w:i/>
          <w:iCs/>
          <w:color w:val="000000"/>
          <w:sz w:val="22"/>
          <w:szCs w:val="22"/>
        </w:rPr>
        <w:t xml:space="preserve">N. cervinus</w:t>
      </w:r>
      <w:r>
        <w:rPr>
          <w:rFonts w:ascii="Calibri" w:hAnsi="Calibri" w:eastAsia="Calibri" w:cs="Calibri"/>
          <w:color w:val="000000"/>
          <w:sz w:val="22"/>
          <w:szCs w:val="22"/>
        </w:rPr>
        <w:t xml:space="preserve"> has already been introduced in a number of countries (e.g. Switzerland) and is spreading (Germann,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fruit, especially grapes, carrying adults in trade and the packaging material associated with infested fruit, is a major pathway for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This weevil has been reported as travelling on fruit (e.g. CABI, 2006; USDA, 2015; USDA, 2008 citing AQAS, 2007; USDA, 2007; Biosecurity Australia, 2005), with numerous interceptions, for example on grapes and apples (for exhaustive information, see EPPO, 2020). Traded host fruit are imported for consumption or processing, and transfer to a host is generally unlikely because the pest will be destroyed during processing or damaged fruit will be identified and discarded by processors, retailers or the final consumer in enclosed conditions. However, the pest may be able to transfer to a suitable host where fruit waste from processing or damaged fruit from repacking is discarded in large quantities in the open, close to orchards. This may happen where imported fruit is stored or repacked close to production facilities.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PRA assessed the likelihood of entry in the EPPO region on host plants for planting as high, if these plants have growing media attached. Larvae and pupae can be present in the growing medium and the presence of root material can allow for larval feeding. Bare-rooted host plants for planting were considered to be a moderate risk as eggs may be present on the material and the presence of root material can provide food material for larvae, although because only early life stages may be present they are less likely to survive. For unrooted cuttings and rooted cuttings in small plugs, this was rated a very low risk of entry.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may spread naturally but since the species is flightless, natural spread is expected to be slow. Additionally,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normally climbs on a plant and moves within this plant. It may spread between plants with branch contact or structures connecting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America, one of the most severely affected host plants is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with damage reported in Chile, Argentina (Mendoza) and Brazil (Rio Grande do Sul) (Caballero, 1972; Ripa, 1986; Klein &amp; Waterhouse, 2000; Lanteri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is mentioned in the management recommendations or pest inventories of various fruit and field crops in Argentina and Chile (for details see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where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is an introduced species, it is regarded as one of the most important pests of grapevine (González, 1989; Ripa, 1992). Additionally, in Chile, attacks on peach and nectarine have also been reported. Caballero (1972) noted that mature peach trees attacked by an average of 100 larvae decline in their production or die after 4–5 years of attack. In Chile, there is no economic damage on Citrus, but Citrus crops support the pest and Citrus fruit have been a means of movement of the pest. In Chile, reductions in grape production of up to 30% have been reported, with damage reaching up to 60% in one region (Ripa, 1992).</w:t>
      </w:r>
    </w:p>
    <w:p>
      <w:pPr>
        <w:widowControl w:val="on"/>
        <w:pBdr/>
        <w:spacing w:before="220" w:after="220" w:line="240" w:lineRule="auto"/>
        <w:ind w:left="0" w:right="0"/>
        <w:jc w:val="both"/>
      </w:pPr>
      <w:r>
        <w:rPr>
          <w:rFonts w:ascii="Calibri" w:hAnsi="Calibri" w:eastAsia="Calibri" w:cs="Calibri"/>
          <w:color w:val="000000"/>
          <w:sz w:val="22"/>
          <w:szCs w:val="22"/>
        </w:rPr>
        <w:t xml:space="preserve">In Argentina and Uruguay (where it is native),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is usually not very damaging. Some damage has been recorded on alfalfa and garden plants in Argentina, but to a lesser extent than in Chile (Lanteri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2002). In Argentina, it causes damage in combination with other weevil species (Lanteri, pers. comm.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has caused export difficulties in countries where it occurs because of the quarantine requirements of importing countries. In Chile, the presence of adult </w:t>
      </w:r>
      <w:r>
        <w:rPr>
          <w:rFonts w:ascii="Calibri" w:hAnsi="Calibri" w:eastAsia="Calibri" w:cs="Calibri"/>
          <w:i/>
          <w:iCs/>
          <w:color w:val="000000"/>
          <w:sz w:val="22"/>
          <w:szCs w:val="22"/>
        </w:rPr>
        <w:t xml:space="preserve">N. xanthographus </w:t>
      </w:r>
      <w:r>
        <w:rPr>
          <w:rFonts w:ascii="Calibri" w:hAnsi="Calibri" w:eastAsia="Calibri" w:cs="Calibri"/>
          <w:color w:val="000000"/>
          <w:sz w:val="22"/>
          <w:szCs w:val="22"/>
        </w:rPr>
        <w:t xml:space="preserve">on table grapes for export has resulted in the rejection of the commodity: between 1981/82 and 1982/1983, 43.6% and 38.6% of checked lots were rejected for export, respectively (Ripa,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Physical barriers on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species is flightless, establishment of a toxic barrier on the trunk of individual host can be an effective method of preventing adults reaching the foliage of the host plant. This method involves the placement of a plastic film smeared with an insecticide paste (INIA Pasta 82.4: contains 4% concentration of azinphos-methyl) that causes insect mortality when it walks on it (Ripa, 1992). The insecticide bands must be installed before the emergence of the adults from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In organic production areas, azadirachtin was found to be as effective as chemical treatments (Pinto &amp; Zaviezo, 2003).</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application (e.g. indoxacarb) on the foliage has been applied in Chile against adults. Effectiveness can be achieved for up to 30 days or more (R. Ripa, pers. comm. 2019).</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Polyethylene sheets can be placed under the host plants and the trunks can be tapped (with a rubber mallet) so that adults may fall from the infested plants and be collected in the polyethylene sheets (Ripa, 1992). However, this is mostly used as a monitoring method. Weed control is used to lower infestations by removing food sources for the larvae. New crops should not be established in contaminated fields until the pest has been eradicated. Finally, ploughing to a sufficient depth would damage and disturb life stages in the soil (R. Ripa, pers. comm.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Many hosts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have high economic importance in the EPPO region. In particular, the EPPO PRA highlighted that yield losses may be expected in grapevine, which is a high-value crop in the EPPO region. Damage could affect plants in production and young plants. Host fruit trees and vines are perennial plants and the establishment of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would have long-term consequences.</w:t>
      </w:r>
    </w:p>
    <w:p>
      <w:pPr>
        <w:widowControl w:val="on"/>
        <w:pBdr/>
        <w:spacing w:before="220" w:after="220" w:line="240" w:lineRule="auto"/>
        <w:ind w:left="0" w:right="0"/>
        <w:jc w:val="both"/>
      </w:pPr>
      <w:r>
        <w:rPr>
          <w:rFonts w:ascii="Calibri" w:hAnsi="Calibri" w:eastAsia="Calibri" w:cs="Calibri"/>
          <w:color w:val="000000"/>
          <w:sz w:val="22"/>
          <w:szCs w:val="22"/>
        </w:rPr>
        <w:t xml:space="preserve">Loss of fruit harvest or young plants will depend on the type of crop, as well as on the pests already present and how they are managed. The impact may be major in the first years after </w:t>
      </w:r>
      <w:r>
        <w:rPr>
          <w:rFonts w:ascii="Calibri" w:hAnsi="Calibri" w:eastAsia="Calibri" w:cs="Calibri"/>
          <w:i/>
          <w:iCs/>
          <w:color w:val="000000"/>
          <w:sz w:val="22"/>
          <w:szCs w:val="22"/>
        </w:rPr>
        <w:t xml:space="preserve">N. xanthographus </w:t>
      </w:r>
      <w:r>
        <w:rPr>
          <w:rFonts w:ascii="Calibri" w:hAnsi="Calibri" w:eastAsia="Calibri" w:cs="Calibri"/>
          <w:color w:val="000000"/>
          <w:sz w:val="22"/>
          <w:szCs w:val="22"/>
        </w:rPr>
        <w:t xml:space="preserve">has built up damaging populations, before new control techniques are developed.</w:t>
      </w:r>
    </w:p>
    <w:p>
      <w:pPr>
        <w:widowControl w:val="on"/>
        <w:pBdr/>
        <w:spacing w:before="220" w:after="220" w:line="240" w:lineRule="auto"/>
        <w:ind w:left="0" w:right="0"/>
        <w:jc w:val="both"/>
      </w:pPr>
      <w:r>
        <w:rPr>
          <w:rFonts w:ascii="Calibri" w:hAnsi="Calibri" w:eastAsia="Calibri" w:cs="Calibri"/>
          <w:color w:val="000000"/>
          <w:sz w:val="22"/>
          <w:szCs w:val="22"/>
        </w:rPr>
        <w:t xml:space="preserve">If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is introduced into the EPPO region, its presence may have a high impact on major fruit exporters. The pest is a quarantine pest for many countries in the Americas and Asia, and there is also a large trade of the main fruit and plant commodities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It is not known if </w:t>
      </w:r>
      <w:r>
        <w:rPr>
          <w:rFonts w:ascii="Calibri" w:hAnsi="Calibri" w:eastAsia="Calibri" w:cs="Calibri"/>
          <w:i/>
          <w:iCs/>
          <w:color w:val="000000"/>
          <w:sz w:val="22"/>
          <w:szCs w:val="22"/>
        </w:rPr>
        <w:t xml:space="preserve">N. xanthographus</w:t>
      </w:r>
      <w:r>
        <w:rPr>
          <w:rFonts w:ascii="Calibri" w:hAnsi="Calibri" w:eastAsia="Calibri" w:cs="Calibri"/>
          <w:color w:val="000000"/>
          <w:sz w:val="22"/>
          <w:szCs w:val="22"/>
        </w:rPr>
        <w:t xml:space="preserve"> would have an impact on species other than host fruit trees and vines, or on host plants in the wild. Such effects are apparently not observed in South America. It may have an impact in gardens or on alfalfa, as reported from Argentina.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0" w:after="0" w:line="240" w:lineRule="auto"/>
        <w:ind w:left="0" w:right="0"/>
        <w:jc w:val="both"/>
      </w:pPr>
      <w:r>
        <w:rPr>
          <w:rFonts w:ascii="Calibri" w:hAnsi="Calibri" w:eastAsia="Calibri" w:cs="Calibri"/>
          <w:color w:val="000000"/>
          <w:sz w:val="22"/>
          <w:szCs w:val="22"/>
        </w:rPr>
        <w:t xml:space="preserve">The EPPO PRA (EPPO, 2020) recommended phytosanitary measures for plants for planting (other than seeds, in vitro plants, unrooted cuttings, and rooted cuttings in small plugs) with options such as pest-free areas, pest-free places of production, pest-free production sites and post-entry quarantine. For rooted cuttings in small plugs, clean growing medium should be used along with inspection and the treatment of plants against adults. For fruit of confirmed hosts, recommended phytosanitary measures include pest-free areas, pest-free places of production, pest-free production sites, harvesting during the South American winter (with information on absence of adults), washing of fruit (where feasible for the fruit concerned) or treatment of crop plus visual inspection in the crop and the consignment. In addition, both for plants and fruits, handling and packaging methods should be applied to prevent contamination by adults during storage and transport.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Aguirre C, Olivares N, Luppichini P &amp; Hinrichsen P (2015) A PCR-based diagnostic system for differentiating two weevil species (Coleoptera: Curculionidae) of economic importance to the Chilean citrus industry.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(1), 107-113.</w:t>
      </w:r>
    </w:p>
    <w:p>
      <w:pPr>
        <w:widowControl w:val="on"/>
        <w:pBdr/>
        <w:spacing w:before="220" w:after="220" w:line="240" w:lineRule="auto"/>
        <w:ind w:left="0" w:right="0"/>
        <w:jc w:val="left"/>
      </w:pPr>
      <w:r>
        <w:rPr>
          <w:rFonts w:ascii="Calibri" w:hAnsi="Calibri" w:eastAsia="Calibri" w:cs="Calibri"/>
          <w:color w:val="000000"/>
          <w:sz w:val="22"/>
          <w:szCs w:val="22"/>
        </w:rPr>
        <w:t xml:space="preserve">Aguirre C, Sánchez E, Olivares N &amp; Hinrichsen P (2021) Multiplex TaqMan real-time PCR assay for sensitive detection of two weevil species (Coleoptera: Curculionidae).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90–99.</w:t>
      </w:r>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Australia (2005) Revised Draft Import Risk Analysis Report for Table Grapes from Chile. Part B. Commonwealth of Australia. Australian Government, available at: </w:t>
      </w:r>
      <w:hyperlink r:id="rId2525669e6e5c89a85" w:history="1">
        <w:r>
          <w:rPr>
            <w:rFonts w:ascii="Calibri" w:hAnsi="Calibri" w:eastAsia="Calibri" w:cs="Calibri"/>
            <w:color w:val="0000CC"/>
            <w:sz w:val="22"/>
            <w:szCs w:val="22"/>
            <w:u w:val="single"/>
          </w:rPr>
          <w:t xml:space="preserve">http://www.agriculture.gov.au/SiteCollectionDocuments/ba/memos/2005/2005_04a.pdf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(2006) </w:t>
      </w:r>
      <w:r>
        <w:rPr>
          <w:rFonts w:ascii="Calibri" w:hAnsi="Calibri" w:eastAsia="Calibri" w:cs="Calibri"/>
          <w:i/>
          <w:iCs/>
          <w:color w:val="000000"/>
          <w:sz w:val="22"/>
          <w:szCs w:val="22"/>
        </w:rPr>
        <w:t xml:space="preserve">Crop Protection Compendium, CD-ROM</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Caballero VC (1972) Algunos aspectos de la biología y control de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(Coleoptera: Curculionidae) en durazneros en Chile. </w:t>
      </w:r>
      <w:r>
        <w:rPr>
          <w:rFonts w:ascii="Calibri" w:hAnsi="Calibri" w:eastAsia="Calibri" w:cs="Calibri"/>
          <w:i/>
          <w:iCs/>
          <w:color w:val="000000"/>
          <w:sz w:val="22"/>
          <w:szCs w:val="22"/>
        </w:rPr>
        <w:t xml:space="preserve">Revista Peruana De Entomología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190–194.</w:t>
      </w:r>
    </w:p>
    <w:p>
      <w:pPr>
        <w:widowControl w:val="on"/>
        <w:pBdr/>
        <w:spacing w:before="220" w:after="220" w:line="240" w:lineRule="auto"/>
        <w:ind w:left="0" w:right="0"/>
        <w:jc w:val="left"/>
      </w:pPr>
      <w:r>
        <w:rPr>
          <w:rFonts w:ascii="Calibri" w:hAnsi="Calibri" w:eastAsia="Calibri" w:cs="Calibri"/>
          <w:color w:val="000000"/>
          <w:sz w:val="22"/>
          <w:szCs w:val="22"/>
        </w:rPr>
        <w:t xml:space="preserve">del Río MG &amp; Lanteri AA (2019) Recognition of species groups of </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Dejean (Coleoptera: Curculionidae) from Argentina and neighboring countries. </w:t>
      </w:r>
      <w:r>
        <w:rPr>
          <w:rFonts w:ascii="Calibri" w:hAnsi="Calibri" w:eastAsia="Calibri" w:cs="Calibri"/>
          <w:i/>
          <w:iCs/>
          <w:color w:val="000000"/>
          <w:sz w:val="22"/>
          <w:szCs w:val="22"/>
        </w:rPr>
        <w:t xml:space="preserve">PeerJ </w:t>
      </w:r>
      <w:r>
        <w:rPr>
          <w:rFonts w:ascii="Calibri" w:hAnsi="Calibri" w:eastAsia="Calibri" w:cs="Calibri"/>
          <w:color w:val="000000"/>
          <w:sz w:val="22"/>
          <w:szCs w:val="22"/>
        </w:rPr>
        <w:t xml:space="preserve">6, e6196. </w:t>
      </w:r>
      <w:hyperlink r:id="rId4920669e6e5c89ba8" w:history="1">
        <w:r>
          <w:rPr>
            <w:rFonts w:ascii="Calibri" w:hAnsi="Calibri" w:eastAsia="Calibri" w:cs="Calibri"/>
            <w:color w:val="0000CC"/>
            <w:sz w:val="22"/>
            <w:szCs w:val="22"/>
            <w:u w:val="single"/>
          </w:rPr>
          <w:t xml:space="preserve">https://doi.org/10.7717/peerj.6196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del Río M, Rodriguero MS, Confalonieri VA &amp; Lanteri AA (2018) Molecular and morphological phylogenetic analysis of </w:t>
      </w:r>
      <w:r>
        <w:rPr>
          <w:rFonts w:ascii="Calibri" w:hAnsi="Calibri" w:eastAsia="Calibri" w:cs="Calibri"/>
          <w:i/>
          <w:iCs/>
          <w:color w:val="000000"/>
          <w:sz w:val="22"/>
          <w:szCs w:val="22"/>
        </w:rPr>
        <w:t xml:space="preserve">Naupactus </w:t>
      </w:r>
      <w:r>
        <w:rPr>
          <w:rFonts w:ascii="Calibri" w:hAnsi="Calibri" w:eastAsia="Calibri" w:cs="Calibri"/>
          <w:color w:val="000000"/>
          <w:sz w:val="22"/>
          <w:szCs w:val="22"/>
        </w:rPr>
        <w:t xml:space="preserve">Dejean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(Curculionidae: Entiminae) and allied genera: The dilemma of classification. </w:t>
      </w:r>
      <w:r>
        <w:rPr>
          <w:rFonts w:ascii="Calibri" w:hAnsi="Calibri" w:eastAsia="Calibri" w:cs="Calibri"/>
          <w:i/>
          <w:iCs/>
          <w:color w:val="000000"/>
          <w:sz w:val="22"/>
          <w:szCs w:val="22"/>
        </w:rPr>
        <w:t xml:space="preserve">Diversity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59.</w:t>
      </w:r>
    </w:p>
    <w:p>
      <w:pPr>
        <w:widowControl w:val="on"/>
        <w:pBdr/>
        <w:spacing w:before="220" w:after="220" w:line="240" w:lineRule="auto"/>
        <w:ind w:left="0" w:right="0"/>
        <w:jc w:val="left"/>
      </w:pPr>
      <w:r>
        <w:rPr>
          <w:rFonts w:ascii="Calibri" w:hAnsi="Calibri" w:eastAsia="Calibri" w:cs="Calibri"/>
          <w:color w:val="000000"/>
          <w:sz w:val="22"/>
          <w:szCs w:val="22"/>
        </w:rPr>
        <w:t xml:space="preserve">Elgueta M &amp; Marvaldi AE (2006) Lista sistemática de las especies de curculionoidea (Insecta: Coleoptera) presentes en Chile, con su sinonimia. Publicacion Ocasional 48. 79 p. Museo Nacional de Historia natural, Santiago, Chile.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Pest risk analysis for </w:t>
      </w: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EPPO, Paris. Available at </w:t>
      </w:r>
      <w:hyperlink r:id="rId7009669e6e5c89cb6" w:history="1">
        <w:r>
          <w:rPr>
            <w:rFonts w:ascii="Calibri" w:hAnsi="Calibri" w:eastAsia="Calibri" w:cs="Calibri"/>
            <w:color w:val="0000CC"/>
            <w:sz w:val="22"/>
            <w:szCs w:val="22"/>
            <w:u w:val="single"/>
          </w:rPr>
          <w:t xml:space="preserve">https://gd.eppo.int/taxon/ NAUPX A/documents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GenBank (2019) </w:t>
      </w:r>
      <w:hyperlink r:id="rId6345669e6e5c89ce9" w:history="1">
        <w:r>
          <w:rPr>
            <w:rFonts w:ascii="Calibri" w:hAnsi="Calibri" w:eastAsia="Calibri" w:cs="Calibri"/>
            <w:color w:val="0000CC"/>
            <w:sz w:val="22"/>
            <w:szCs w:val="22"/>
            <w:u w:val="single"/>
          </w:rPr>
          <w:t xml:space="preserve">https://www.ncbi.nlm.nih.gov/genba nk/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Germann C (2016) First record of the neozoic species </w:t>
      </w:r>
      <w:r>
        <w:rPr>
          <w:rFonts w:ascii="Calibri" w:hAnsi="Calibri" w:eastAsia="Calibri" w:cs="Calibri"/>
          <w:i/>
          <w:iCs/>
          <w:color w:val="000000"/>
          <w:sz w:val="22"/>
          <w:szCs w:val="22"/>
        </w:rPr>
        <w:t xml:space="preserve">Naupactus cervinus </w:t>
      </w:r>
      <w:r>
        <w:rPr>
          <w:rFonts w:ascii="Calibri" w:hAnsi="Calibri" w:eastAsia="Calibri" w:cs="Calibri"/>
          <w:color w:val="000000"/>
          <w:sz w:val="22"/>
          <w:szCs w:val="22"/>
        </w:rPr>
        <w:t xml:space="preserve">Boheman, 1840 (Coleoptera, Curculionidae, Entiminae) for Switzerland with a short review of its spreading and food plants. </w:t>
      </w:r>
      <w:r>
        <w:rPr>
          <w:rFonts w:ascii="Calibri" w:hAnsi="Calibri" w:eastAsia="Calibri" w:cs="Calibri"/>
          <w:i/>
          <w:iCs/>
          <w:color w:val="000000"/>
          <w:sz w:val="22"/>
          <w:szCs w:val="22"/>
        </w:rPr>
        <w:t xml:space="preserve">Bulletin de La Société Entomologique Suisse</w:t>
      </w:r>
      <w:r>
        <w:rPr>
          <w:rFonts w:ascii="Calibri" w:hAnsi="Calibri" w:eastAsia="Calibri" w:cs="Calibri"/>
          <w:color w:val="000000"/>
          <w:sz w:val="22"/>
          <w:szCs w:val="22"/>
        </w:rPr>
        <w:t xml:space="preserve">. </w:t>
      </w:r>
      <w:hyperlink r:id="rId9976669e6e5c89d6d" w:history="1">
        <w:r>
          <w:rPr>
            <w:rFonts w:ascii="Calibri" w:hAnsi="Calibri" w:eastAsia="Calibri" w:cs="Calibri"/>
            <w:color w:val="0000CC"/>
            <w:sz w:val="22"/>
            <w:szCs w:val="22"/>
            <w:u w:val="single"/>
          </w:rPr>
          <w:t xml:space="preserve">https://doi.org/10.5281/zenodo.51884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Gonzalez RH (1983) Management of grapevine pests. Manejo de plagas de la vid. Facultad de Ciencias Agrarias, Veterinarias y Forestales, Universidad de Chile Santiago Chile, 115 pp.</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(1989) Insectos y acaros de importancia agricola y cuarentenaria en Chile. Universidad de Chile: 310 pp.</w:t>
      </w:r>
    </w:p>
    <w:p>
      <w:pPr>
        <w:widowControl w:val="on"/>
        <w:pBdr/>
        <w:spacing w:before="220" w:after="220" w:line="240" w:lineRule="auto"/>
        <w:ind w:left="0" w:right="0"/>
        <w:jc w:val="left"/>
      </w:pPr>
      <w:r>
        <w:rPr>
          <w:rFonts w:ascii="Calibri" w:hAnsi="Calibri" w:eastAsia="Calibri" w:cs="Calibri"/>
          <w:color w:val="000000"/>
          <w:sz w:val="22"/>
          <w:szCs w:val="22"/>
        </w:rPr>
        <w:t xml:space="preserve">Guzmán NV, Lanteri AA &amp; Confalonieri VA (2012) Colonization ability of two invasive weevils with different reproductive modes. </w:t>
      </w:r>
      <w:r>
        <w:rPr>
          <w:rFonts w:ascii="Calibri" w:hAnsi="Calibri" w:eastAsia="Calibri" w:cs="Calibri"/>
          <w:i/>
          <w:iCs/>
          <w:color w:val="000000"/>
          <w:sz w:val="22"/>
          <w:szCs w:val="22"/>
        </w:rPr>
        <w:t xml:space="preserve">Evolutionary Ecology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1371–1390.</w:t>
      </w:r>
    </w:p>
    <w:p>
      <w:pPr>
        <w:widowControl w:val="on"/>
        <w:pBdr/>
        <w:spacing w:before="220" w:after="220" w:line="240" w:lineRule="auto"/>
        <w:ind w:left="0" w:right="0"/>
        <w:jc w:val="left"/>
      </w:pPr>
      <w:r>
        <w:rPr>
          <w:rFonts w:ascii="Calibri" w:hAnsi="Calibri" w:eastAsia="Calibri" w:cs="Calibri"/>
          <w:color w:val="000000"/>
          <w:sz w:val="22"/>
          <w:szCs w:val="22"/>
        </w:rPr>
        <w:t xml:space="preserve">Klein KC &amp; Waterhouse DF (2000) The distribution and importance of arthropods associated with agriculture and forestry in Chile (Distribucion e importancia de los arthropodos asociados a la agricultura y silvicultura en Chile). ACIAR Monograph No. 68, 234 pp.</w:t>
      </w:r>
    </w:p>
    <w:p>
      <w:pPr>
        <w:widowControl w:val="on"/>
        <w:pBdr/>
        <w:spacing w:before="220" w:after="220" w:line="240" w:lineRule="auto"/>
        <w:ind w:left="0" w:right="0"/>
        <w:jc w:val="left"/>
      </w:pPr>
      <w:r>
        <w:rPr>
          <w:rFonts w:ascii="Calibri" w:hAnsi="Calibri" w:eastAsia="Calibri" w:cs="Calibri"/>
          <w:color w:val="000000"/>
          <w:sz w:val="22"/>
          <w:szCs w:val="22"/>
        </w:rPr>
        <w:t xml:space="preserve">Lanteri AA, Marvaldi AE &amp; Suarez SM (2002) Gorgojos de la Argentina y sus plantas huespedes, Tomo I: Apionidae y Curculionidae. Publicacion Especial de la Sociedad Entomologica Argentina.</w:t>
      </w:r>
    </w:p>
    <w:p>
      <w:pPr>
        <w:widowControl w:val="on"/>
        <w:pBdr/>
        <w:spacing w:before="220" w:after="220" w:line="240" w:lineRule="auto"/>
        <w:ind w:left="0" w:right="0"/>
        <w:jc w:val="left"/>
      </w:pPr>
      <w:r>
        <w:rPr>
          <w:rFonts w:ascii="Calibri" w:hAnsi="Calibri" w:eastAsia="Calibri" w:cs="Calibri"/>
          <w:color w:val="000000"/>
          <w:sz w:val="22"/>
          <w:szCs w:val="22"/>
        </w:rPr>
        <w:t xml:space="preserve">Lanteri A &amp; del Río MG (2017)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species group (Curculionidae: Entiminae: Naupactini): a comprehensive taxonomic treatment. </w:t>
      </w:r>
      <w:r>
        <w:rPr>
          <w:rFonts w:ascii="Calibri" w:hAnsi="Calibri" w:eastAsia="Calibri" w:cs="Calibri"/>
          <w:i/>
          <w:iCs/>
          <w:color w:val="000000"/>
          <w:sz w:val="22"/>
          <w:szCs w:val="22"/>
        </w:rPr>
        <w:t xml:space="preserve">Journal of Natural History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27–28.</w:t>
      </w:r>
    </w:p>
    <w:p>
      <w:pPr>
        <w:widowControl w:val="on"/>
        <w:pBdr/>
        <w:spacing w:before="220" w:after="220" w:line="240" w:lineRule="auto"/>
        <w:ind w:left="0" w:right="0"/>
        <w:jc w:val="left"/>
      </w:pPr>
      <w:r>
        <w:rPr>
          <w:rFonts w:ascii="Calibri" w:hAnsi="Calibri" w:eastAsia="Calibri" w:cs="Calibri"/>
          <w:color w:val="000000"/>
          <w:sz w:val="22"/>
          <w:szCs w:val="22"/>
        </w:rPr>
        <w:t xml:space="preserve">Loiácono MS &amp; Días NB (1992) Immature stages of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Coleoptera, Curculionidae), with notes on its life history. </w:t>
      </w:r>
      <w:r>
        <w:rPr>
          <w:rFonts w:ascii="Calibri" w:hAnsi="Calibri" w:eastAsia="Calibri" w:cs="Calibri"/>
          <w:i/>
          <w:iCs/>
          <w:color w:val="000000"/>
          <w:sz w:val="22"/>
          <w:szCs w:val="22"/>
        </w:rPr>
        <w:t xml:space="preserve">Revista Brasileira de Entomologia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177–186.</w:t>
      </w:r>
    </w:p>
    <w:p>
      <w:pPr>
        <w:widowControl w:val="on"/>
        <w:pBdr/>
        <w:spacing w:before="220" w:after="220" w:line="240" w:lineRule="auto"/>
        <w:ind w:left="0" w:right="0"/>
        <w:jc w:val="left"/>
      </w:pPr>
      <w:r>
        <w:rPr>
          <w:rFonts w:ascii="Calibri" w:hAnsi="Calibri" w:eastAsia="Calibri" w:cs="Calibri"/>
          <w:color w:val="000000"/>
          <w:sz w:val="22"/>
          <w:szCs w:val="22"/>
        </w:rPr>
        <w:t xml:space="preserve">Luppichini BP, Isla F, Henriquez IU, Olivares N, Fernando PY &amp; Alvarez (2013) Manejo del Burrito de la vid,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y otros curculiónidos asociados a vides.</w:t>
      </w:r>
    </w:p>
    <w:p>
      <w:pPr>
        <w:widowControl w:val="on"/>
        <w:pBdr/>
        <w:spacing w:before="220" w:after="220" w:line="240" w:lineRule="auto"/>
        <w:ind w:left="0" w:right="0"/>
        <w:jc w:val="left"/>
      </w:pPr>
      <w:r>
        <w:rPr>
          <w:rFonts w:ascii="Calibri" w:hAnsi="Calibri" w:eastAsia="Calibri" w:cs="Calibri"/>
          <w:color w:val="000000"/>
          <w:sz w:val="22"/>
          <w:szCs w:val="22"/>
        </w:rPr>
        <w:t xml:space="preserve">Pinto L &amp; Zaviezo T (2003) Efectividad de bandas en base a aceites y polibuteno en el control del burrito de la vid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(Coleoptera: Curculionidae). </w:t>
      </w:r>
      <w:r>
        <w:rPr>
          <w:rFonts w:ascii="Calibri" w:hAnsi="Calibri" w:eastAsia="Calibri" w:cs="Calibri"/>
          <w:i/>
          <w:iCs/>
          <w:color w:val="000000"/>
          <w:sz w:val="22"/>
          <w:szCs w:val="22"/>
        </w:rPr>
        <w:t xml:space="preserve">Ciencia e Investigación Agraria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69–77.</w:t>
      </w:r>
    </w:p>
    <w:p>
      <w:pPr>
        <w:widowControl w:val="on"/>
        <w:pBdr/>
        <w:spacing w:before="220" w:after="220" w:line="240" w:lineRule="auto"/>
        <w:ind w:left="0" w:right="0"/>
        <w:jc w:val="left"/>
      </w:pPr>
      <w:r>
        <w:rPr>
          <w:rFonts w:ascii="Calibri" w:hAnsi="Calibri" w:eastAsia="Calibri" w:cs="Calibri"/>
          <w:color w:val="000000"/>
          <w:sz w:val="22"/>
          <w:szCs w:val="22"/>
        </w:rPr>
        <w:t xml:space="preserve">Ripa R (1986) Contribución al conocimiento del ciclo del burrito de los frutales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(Coleóptero: Curculionidae). </w:t>
      </w:r>
      <w:r>
        <w:rPr>
          <w:rFonts w:ascii="Calibri" w:hAnsi="Calibri" w:eastAsia="Calibri" w:cs="Calibri"/>
          <w:i/>
          <w:iCs/>
          <w:color w:val="000000"/>
          <w:sz w:val="22"/>
          <w:szCs w:val="22"/>
        </w:rPr>
        <w:t xml:space="preserve">Agricultura Técnica (Chile)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33–40.</w:t>
      </w:r>
    </w:p>
    <w:p>
      <w:pPr>
        <w:widowControl w:val="on"/>
        <w:pBdr/>
        <w:spacing w:before="220" w:after="220" w:line="240" w:lineRule="auto"/>
        <w:ind w:left="0" w:right="0"/>
        <w:jc w:val="left"/>
      </w:pPr>
      <w:r>
        <w:rPr>
          <w:rFonts w:ascii="Calibri" w:hAnsi="Calibri" w:eastAsia="Calibri" w:cs="Calibri"/>
          <w:color w:val="000000"/>
          <w:sz w:val="22"/>
          <w:szCs w:val="22"/>
        </w:rPr>
        <w:t xml:space="preserve">Ripa R (1992) Burrito de los frutales </w:t>
      </w:r>
      <w:r>
        <w:rPr>
          <w:rFonts w:ascii="Calibri" w:hAnsi="Calibri" w:eastAsia="Calibri" w:cs="Calibri"/>
          <w:i/>
          <w:iCs/>
          <w:color w:val="000000"/>
          <w:sz w:val="22"/>
          <w:szCs w:val="22"/>
        </w:rPr>
        <w:t xml:space="preserve">Naupactus xanthographus </w:t>
      </w:r>
      <w:r>
        <w:rPr>
          <w:rFonts w:ascii="Calibri" w:hAnsi="Calibri" w:eastAsia="Calibri" w:cs="Calibri"/>
          <w:color w:val="000000"/>
          <w:sz w:val="22"/>
          <w:szCs w:val="22"/>
        </w:rPr>
        <w:t xml:space="preserve">(Germar), INIA, La Cruz, Chile.</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(2015) Risk Assessment for the Importation of Fresh Lemon (</w:t>
      </w:r>
      <w:r>
        <w:rPr>
          <w:rFonts w:ascii="Calibri" w:hAnsi="Calibri" w:eastAsia="Calibri" w:cs="Calibri"/>
          <w:i/>
          <w:iCs/>
          <w:color w:val="000000"/>
          <w:sz w:val="22"/>
          <w:szCs w:val="22"/>
        </w:rPr>
        <w:t xml:space="preserve">Citrus limon </w:t>
      </w:r>
      <w:r>
        <w:rPr>
          <w:rFonts w:ascii="Calibri" w:hAnsi="Calibri" w:eastAsia="Calibri" w:cs="Calibri"/>
          <w:color w:val="000000"/>
          <w:sz w:val="22"/>
          <w:szCs w:val="22"/>
        </w:rPr>
        <w:t xml:space="preserve">(L.) Burm. f.) Fruit from Northwest Argentina into the Continental United States. USDA,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(2008) Pathway-Initiated Risk Analysis of the Importation of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spp. Fruit from countries in Central and South America into the continental United States. USDA,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(2007) Importation of fresh highbush and rabbit-eye blueberry (</w:t>
      </w:r>
      <w:r>
        <w:rPr>
          <w:rFonts w:ascii="Calibri" w:hAnsi="Calibri" w:eastAsia="Calibri" w:cs="Calibri"/>
          <w:i/>
          <w:iCs/>
          <w:color w:val="000000"/>
          <w:sz w:val="22"/>
          <w:szCs w:val="22"/>
        </w:rPr>
        <w:t xml:space="preserve">Vaccinium corymbosum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&amp; V. virgatum </w:t>
      </w:r>
      <w:r>
        <w:rPr>
          <w:rFonts w:ascii="Calibri" w:hAnsi="Calibri" w:eastAsia="Calibri" w:cs="Calibri"/>
          <w:color w:val="000000"/>
          <w:sz w:val="22"/>
          <w:szCs w:val="22"/>
        </w:rPr>
        <w:t xml:space="preserve">Aiton) fruit into the Continental United States from Uruguay, USDA, USA.</w:t>
      </w:r>
    </w:p>
    <w:p>
      <w:pPr>
        <w:widowControl w:val="on"/>
        <w:pBdr/>
        <w:spacing w:before="220" w:after="220" w:line="240" w:lineRule="auto"/>
        <w:ind w:left="0" w:right="0"/>
        <w:jc w:val="left"/>
      </w:pPr>
      <w:r>
        <w:rPr>
          <w:rFonts w:ascii="Calibri" w:hAnsi="Calibri" w:eastAsia="Calibri" w:cs="Calibri"/>
          <w:color w:val="000000"/>
          <w:sz w:val="22"/>
          <w:szCs w:val="22"/>
        </w:rPr>
        <w:t xml:space="preserve">Vicchi FR (2014) Biodiversidad de artrópodos en un suelo cultivado con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L. en Barrancas, Mendoza. Monitoreo de larvas rizófagas. Working paper.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the EPPO Secretariat based on the pest risk analysis produced by an EPPO expert working group in 2019. The expert working group was composed of N. Avendaño Garcia (Tecnologias y Servicios Agrarios, ES), G. Franco (Agenzia regionale per lo sviluppo rurale del Friuli Venezia Giulia, IT), A. Korycinska (Defra, GB), A. Lanteri (Museo de La Plata, AR), R. Ripa (Centro de Entomología Aplicada Ltda, CL), D. van der Gaag (NPPO, NL), A. Wilstermann (Julius Kuehn-Institute, DE) and M. Zekiri (Ministry of Agriculture Forestry and Water Economy, MC).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Naupactus xanthographus</w:t>
      </w:r>
      <w:r>
        <w:rPr>
          <w:rFonts w:ascii="Calibri" w:hAnsi="Calibri" w:eastAsia="Calibri" w:cs="Calibri"/>
          <w:color w:val="000000"/>
          <w:sz w:val="22"/>
          <w:szCs w:val="22"/>
        </w:rPr>
        <w:t xml:space="preserve">. EPPO datasheets on pests recommended for regulation. Available online. </w:t>
      </w:r>
      <w:hyperlink r:id="rId6934669e6e5c8a26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first published in the EPPO Bulletin in 2022. It is now maintained in an electronic format in the EPPO Global Database. The sections on 'Identity', ‘Hosts’, and 'Geographical distribution' are automatically updated from the database. For other sections, the date of last revision is indicated on the right.</w:t>
      </w:r>
      <w:r>
        <w:rPr>
          <w:rFonts w:ascii="Calibri" w:hAnsi="Calibri" w:eastAsia="Calibri" w:cs="Calibri"/>
          <w:color w:val="000000"/>
          <w:sz w:val="22"/>
          <w:szCs w:val="22"/>
        </w:rPr>
        <w:br/>
        <w:br/>
        <w:t xml:space="preserve">EPPO (2022) Datasheets on pests recommended for regulation. </w:t>
      </w:r>
      <w:r>
        <w:rPr>
          <w:rFonts w:ascii="Calibri" w:hAnsi="Calibri" w:eastAsia="Calibri" w:cs="Calibri"/>
          <w:i/>
          <w:iCs/>
          <w:color w:val="000000"/>
          <w:sz w:val="22"/>
          <w:szCs w:val="22"/>
        </w:rPr>
        <w:t xml:space="preserve">Naupactus xanthographus.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374–378. </w:t>
      </w:r>
      <w:hyperlink r:id="rId5590669e6e5c8a301" w:history="1">
        <w:r>
          <w:rPr>
            <w:rFonts w:ascii="Calibri" w:hAnsi="Calibri" w:eastAsia="Calibri" w:cs="Calibri"/>
            <w:color w:val="0000CC"/>
            <w:sz w:val="22"/>
            <w:szCs w:val="22"/>
            <w:u w:val="single"/>
          </w:rPr>
          <w:t xml:space="preserve">https://doi.org/10.1111/epp.12833</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365886">
    <w:multiLevelType w:val="hybridMultilevel"/>
    <w:lvl w:ilvl="0" w:tplc="22932981">
      <w:start w:val="1"/>
      <w:numFmt w:val="decimal"/>
      <w:lvlText w:val="%1."/>
      <w:lvlJc w:val="left"/>
      <w:pPr>
        <w:ind w:left="720" w:hanging="360"/>
      </w:pPr>
    </w:lvl>
    <w:lvl w:ilvl="1" w:tplc="22932981" w:tentative="1">
      <w:start w:val="1"/>
      <w:numFmt w:val="lowerLetter"/>
      <w:lvlText w:val="%2."/>
      <w:lvlJc w:val="left"/>
      <w:pPr>
        <w:ind w:left="1440" w:hanging="360"/>
      </w:pPr>
    </w:lvl>
    <w:lvl w:ilvl="2" w:tplc="22932981" w:tentative="1">
      <w:start w:val="1"/>
      <w:numFmt w:val="lowerRoman"/>
      <w:lvlText w:val="%3."/>
      <w:lvlJc w:val="right"/>
      <w:pPr>
        <w:ind w:left="2160" w:hanging="180"/>
      </w:pPr>
    </w:lvl>
    <w:lvl w:ilvl="3" w:tplc="22932981" w:tentative="1">
      <w:start w:val="1"/>
      <w:numFmt w:val="decimal"/>
      <w:lvlText w:val="%4."/>
      <w:lvlJc w:val="left"/>
      <w:pPr>
        <w:ind w:left="2880" w:hanging="360"/>
      </w:pPr>
    </w:lvl>
    <w:lvl w:ilvl="4" w:tplc="22932981" w:tentative="1">
      <w:start w:val="1"/>
      <w:numFmt w:val="lowerLetter"/>
      <w:lvlText w:val="%5."/>
      <w:lvlJc w:val="left"/>
      <w:pPr>
        <w:ind w:left="3600" w:hanging="360"/>
      </w:pPr>
    </w:lvl>
    <w:lvl w:ilvl="5" w:tplc="22932981" w:tentative="1">
      <w:start w:val="1"/>
      <w:numFmt w:val="lowerRoman"/>
      <w:lvlText w:val="%6."/>
      <w:lvlJc w:val="right"/>
      <w:pPr>
        <w:ind w:left="4320" w:hanging="180"/>
      </w:pPr>
    </w:lvl>
    <w:lvl w:ilvl="6" w:tplc="22932981" w:tentative="1">
      <w:start w:val="1"/>
      <w:numFmt w:val="decimal"/>
      <w:lvlText w:val="%7."/>
      <w:lvlJc w:val="left"/>
      <w:pPr>
        <w:ind w:left="5040" w:hanging="360"/>
      </w:pPr>
    </w:lvl>
    <w:lvl w:ilvl="7" w:tplc="22932981" w:tentative="1">
      <w:start w:val="1"/>
      <w:numFmt w:val="lowerLetter"/>
      <w:lvlText w:val="%8."/>
      <w:lvlJc w:val="left"/>
      <w:pPr>
        <w:ind w:left="5760" w:hanging="360"/>
      </w:pPr>
    </w:lvl>
    <w:lvl w:ilvl="8" w:tplc="22932981" w:tentative="1">
      <w:start w:val="1"/>
      <w:numFmt w:val="lowerRoman"/>
      <w:lvlText w:val="%9."/>
      <w:lvlJc w:val="right"/>
      <w:pPr>
        <w:ind w:left="6480" w:hanging="180"/>
      </w:pPr>
    </w:lvl>
  </w:abstractNum>
  <w:abstractNum w:abstractNumId="17365885">
    <w:multiLevelType w:val="hybridMultilevel"/>
    <w:lvl w:ilvl="0" w:tplc="979502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365885">
    <w:abstractNumId w:val="17365885"/>
  </w:num>
  <w:num w:numId="17365886">
    <w:abstractNumId w:val="1736588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2585053" Type="http://schemas.microsoft.com/office/2011/relationships/commentsExtended" Target="commentsExtended.xml"/><Relationship Id="rId651854752" Type="http://schemas.microsoft.com/office/2011/relationships/people" Target="people.xml"/><Relationship Id="rId1777669e6e5c86a72" Type="http://schemas.openxmlformats.org/officeDocument/2006/relationships/hyperlink" Target="https://gd.eppo.int/taxon/NAUPXA/" TargetMode="External"/><Relationship Id="rId1980669e6e5c86ac8" Type="http://schemas.openxmlformats.org/officeDocument/2006/relationships/hyperlink" Target="https://gd.eppo.int/taxon/NAUPXA/categorization" TargetMode="External"/><Relationship Id="rId4626669e6e5c87327" Type="http://schemas.openxmlformats.org/officeDocument/2006/relationships/hyperlink" Target="https://gd.eppo.int/taxon/NAUPXA/photos" TargetMode="External"/><Relationship Id="rId8615669e6e5c8935c" Type="http://schemas.openxmlformats.org/officeDocument/2006/relationships/hyperlink" Target="http://boldsystems.org" TargetMode="External"/><Relationship Id="rId3051669e6e5c89381" Type="http://schemas.openxmlformats.org/officeDocument/2006/relationships/hyperlink" Target="https://qbank.eppo.int" TargetMode="External"/><Relationship Id="rId2525669e6e5c89a85" Type="http://schemas.openxmlformats.org/officeDocument/2006/relationships/hyperlink" Target="http://www.agriculture.gov.au/SiteCollectionDocuments/ba/memos/2005/2005_04a.pdf" TargetMode="External"/><Relationship Id="rId4920669e6e5c89ba8" Type="http://schemas.openxmlformats.org/officeDocument/2006/relationships/hyperlink" Target="https://doi.org/10.7717/peerj.6196" TargetMode="External"/><Relationship Id="rId7009669e6e5c89cb6" Type="http://schemas.openxmlformats.org/officeDocument/2006/relationships/hyperlink" Target="https://gd.eppo.int/taxon/%20NAUPX%20A/documents" TargetMode="External"/><Relationship Id="rId6345669e6e5c89ce9" Type="http://schemas.openxmlformats.org/officeDocument/2006/relationships/hyperlink" Target="https://www.ncbi.nlm.nih.gov/genba%20nk/" TargetMode="External"/><Relationship Id="rId9976669e6e5c89d6d" Type="http://schemas.openxmlformats.org/officeDocument/2006/relationships/hyperlink" Target="https://doi.org/10.5281/zenodo.51884" TargetMode="External"/><Relationship Id="rId6934669e6e5c8a26a" Type="http://schemas.openxmlformats.org/officeDocument/2006/relationships/hyperlink" Target="https://gd.eppo.int" TargetMode="External"/><Relationship Id="rId5590669e6e5c8a301" Type="http://schemas.openxmlformats.org/officeDocument/2006/relationships/hyperlink" Target="https://doi.org/10.1111/epp.12833" TargetMode="External"/><Relationship Id="rId3237669e6e5c871fa" Type="http://schemas.openxmlformats.org/officeDocument/2006/relationships/image" Target="media/imgrId3237669e6e5c871fa.jpg"/><Relationship Id="rId7356669e6e5c88ba9" Type="http://schemas.openxmlformats.org/officeDocument/2006/relationships/image" Target="media/imgrId7356669e6e5c88ba9.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