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Oemona hirta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Oemona hirta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Isodera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Oemona humilis</w:t>
            </w:r>
            <w:r>
              <w:rPr>
                <w:rFonts w:ascii="Calibri" w:hAnsi="Calibri" w:eastAsia="Calibri" w:cs="Calibri"/>
                <w:color w:val="000000"/>
                <w:position w:val="-3"/>
                <w:sz w:val="22"/>
                <w:szCs w:val="22"/>
              </w:rPr>
              <w:t xml:space="preserve"> Newman, </w:t>
            </w:r>
            <w:r>
              <w:rPr>
                <w:rFonts w:ascii="Calibri" w:hAnsi="Calibri" w:eastAsia="Calibri" w:cs="Calibri"/>
                <w:i/>
                <w:iCs/>
                <w:color w:val="000000"/>
                <w:position w:val="-3"/>
                <w:sz w:val="22"/>
                <w:szCs w:val="22"/>
              </w:rPr>
              <w:t xml:space="preserve">Oemona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hirta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villosa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lemon tree borer</w:t>
            </w:r>
            <w:hyperlink r:id="rId3362679bfd69ef42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467679bfd69ef49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OEMOHI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638575" name="name7889679bfd69efaeb" descr="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1.jpg"/>
                          <pic:cNvPicPr/>
                        </pic:nvPicPr>
                        <pic:blipFill>
                          <a:blip r:embed="rId5716679bfd69efae2" cstate="print"/>
                          <a:stretch>
                            <a:fillRect/>
                          </a:stretch>
                        </pic:blipFill>
                        <pic:spPr>
                          <a:xfrm>
                            <a:off x="0" y="0"/>
                            <a:ext cx="2160000" cy="1281600"/>
                          </a:xfrm>
                          <a:prstGeom prst="rect">
                            <a:avLst/>
                          </a:prstGeom>
                          <a:ln w="0">
                            <a:noFill/>
                          </a:ln>
                        </pic:spPr>
                      </pic:pic>
                    </a:graphicData>
                  </a:graphic>
                </wp:inline>
              </w:drawing>
            </w:r>
            <w:hyperlink r:id="rId6789679bfd69efbc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revised the genus </w:t>
      </w:r>
      <w:r>
        <w:rPr>
          <w:rFonts w:ascii="Calibri" w:hAnsi="Calibri" w:eastAsia="Calibri" w:cs="Calibri"/>
          <w:i/>
          <w:iCs/>
          <w:color w:val="000000"/>
          <w:sz w:val="22"/>
          <w:szCs w:val="22"/>
        </w:rPr>
        <w:t xml:space="preserve">Oemona</w:t>
      </w:r>
      <w:r>
        <w:rPr>
          <w:rFonts w:ascii="Calibri" w:hAnsi="Calibri" w:eastAsia="Calibri" w:cs="Calibri"/>
          <w:color w:val="000000"/>
          <w:sz w:val="22"/>
          <w:szCs w:val="22"/>
        </w:rPr>
        <w:t xml:space="preserve">, which has 4 species: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separata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simplicicollis</w:t>
      </w:r>
      <w:r>
        <w:rPr>
          <w:rFonts w:ascii="Calibri" w:hAnsi="Calibri" w:eastAsia="Calibri" w:cs="Calibri"/>
          <w:color w:val="000000"/>
          <w:sz w:val="22"/>
          <w:szCs w:val="22"/>
        </w:rPr>
        <w:t xml:space="preserve">. They provided an identification key to species and detailed descriptions. They also performed a phylogenetic analysis of all species, suggesting that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are sister species and most similar morphologically.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a highly polyphagous longhorn beetle. Its larvae feed on over 200 species of trees and shrubs from 63 (Lu &amp; Wang, 2005; Wang, 2017) to 81 (EPPO, 2014) families. Its original hosts were native New Zealand plants, but it expanded its host range to many species exotic to New Zealand, ranging from major fruit, nut, forest and ornamental trees to shrubs and grapevines.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pycnantha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Aristotelia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marina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resinifera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greyi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Carmichaelia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retorta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 subsp. palmensis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trichotomum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nuttallii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buddleioides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Dais cotinifolia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Entelea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fastigata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regnans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Geniostoma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Hoheria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polycarpa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Knightia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Kunzea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scoparium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sparsa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Paraserianthes lophantha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Parsonsia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Pennantia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Pericopsis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octandra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excelsum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ralphii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Pomaderris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Pseudopanax laetus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uva-crispa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reichardtii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reinholdi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tetraptera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Telopea oreades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Weinmannia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distributed throughout New Zealand but more common in the North Island and northern South Island (Lu &amp; Wang, 2005).</w:t>
      </w:r>
    </w:p>
    <w:p>
      <w:r>
        <w:drawing>
          <wp:inline distT="0" distB="0" distL="0" distR="0">
            <wp:extent cx="6120000" cy="3067200"/>
            <wp:docPr id="39196937" name="name1420679bfd69f2525" descr="OEMO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MOHI_distribution_map.jpg"/>
                    <pic:cNvPicPr/>
                  </pic:nvPicPr>
                  <pic:blipFill>
                    <a:blip r:embed="rId3917679bfd69f25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Aspects of biology of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have been described by various authors (Dumbleton, 1937; Duffy, 1963; Clearwater, 1981; EPPO,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2002; Wang, 2017; Wang &amp; Davis, 2005; CABI, 2020). In most parts of New Zealand, this beetle requires at least 2 years to complete its life cycle and overwinters as larvae. Adults emerge between early September and early February with a peak occurring between October and December. They can live for 1 to 2 months, and females can lay about 50 eggs in their lifetime. Premating and preoviposition periods are 3 to 4 days and 5 to 7 days, respectively. Adults mainly feed on pollen and nectar of various plants and occasionally on leaves but do not cause economic damage to plants. They can fly and crawl toward fermented plant material but do not appear to be attracted to light. Mating, oviposition, and adult feeding occur at night. Females lay eggs singly at leaf and branch junctions, in bark cracks and fresh pruning wounds. The incubation period is 9 to 13 days depending on temperature. Newly hatched larvae bore directly into sapwood and then into hardwood of living trees, shrubs, and vines. Larvae often make tunnels longitudinally inside the main stems or branches with a series of frass ejection holes every 8 to 12 cm. Occasionally larvae can enter the roots or bore around a branch, causing girdling. The larval stage takes more than one year and thus larvae can be found all year round in the field. At 23°C in the laboratory, larvae can complete their growth and development in 150 to 300 days depending on rearing methods. Before pupation occurs, the larva tears off thin pieces of wood and packs them into 2 tight plugs about 1.77 cm long and 2.5 cm apart, between which it then pupates. The pupal period is about 3 weeks. Pupae can be found between May and November. This beetle can be reared on artificial and natural diets in the laboratory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larval infestation is often the wilting of foliage and dieback and the presence of excretion holes (about 1–3 mm in diameter) with frass visible at the hole openings and on leaves, branches and stems or ground surface. As the larvae grow and bore through stems or branches, the plant is weakened and easy to break. The infestation can also make the host susceptible to fungal infection from frass holes or weakened plants. In severe infestations, the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2-2.2 mm long; whitish and elongate with a fine waxy surface pattern.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25-40 mm long; cylindrical and creamy white with an enlarged head bearing a pair of dark brown to black mandibles; each segment with a swollen transverse ridge.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20-25 mm long; with short black abdominal spines; showing adult features with antennae and bent legs folding adjacent to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and Wang (2017) made detailed description of adults. Briefly, body 11–31 mm long with females being larger than males; reddish brown to blackish brown with elytra brown to reddish brown; pronotal disc with distinct, long, transverse rugae and pale yellow hairs; elytral surface covered with pale yellow hairs and coarse and rugose punctures; antennae slightly longer than body in males and about as long as body in females.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and laid in cracks or cuts, thus not easily seen. Adults are nocturnal but not attracted to light. They hide under leaves or in crevices during the day. So far, there is no report on the presence of sex or aggregation pheromones for this species and no reliable measures have been developed for adult detection. Therefore, the most reliable methods for detection and inspection are careful examination of plants of interest for the presence of larval infestation. Neonate larvae bore into the stems and branches immediately after hatching and early infestation (a few weeks after egg hatching) may cause wilting of foliage and dieback of twigs and branches. Frass is present at or around excretion holes and on leaves, branches, and stems of infested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has established (currently only in New Zealand), adults can fly from one site to another but the distance they fly is unknown. According to EPPO (2014), the only evidence for long distance movement is through importation of infested plants for planting of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sp. from New Zealand.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larvae were intercepted in live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plants in the United Kingdom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of all ages and pupae may be present in live or freshly cut twigs, branches, and stems. However, they may not survive after these plant parts were cut and left dry for three months or more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There is a large trade of plants for planting between countries, thus if established, the main risk of spread would be by the movement of infested plants for planting (including cuttings) between nurseries.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is one the most common insects in New Zealand (Lu &amp; Wang, 2005). It attacks a wide range of trees planted for fruit such as citrus, apple and persimmon, windbreaks such as poplar, and ornamentals such as oak, with citrus trees appearing to be its most favourable hosts (Taylor, 1957; Clearwater, 1981; Clearwater &amp; Muggleston, 1985; Rohitha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Lu &amp; Wang, 2005, CABI, 2020). It attacks almost all commercially grown citrus species in New Zealand but its major damage to citrus occurs in the North Island, particularly in Northland and Gisborne regions (Wang &amp; Shi, 1999). For example, the borer infested over 30% of 14 500 mixed citrus trees in a Gisborne orchard in 1997 (Wang &amp; Shi, 1999). Dieback of the infested twigs and small branches of trees may occur in the first year of infestation. In the second year, the larvae move downward and damage the main branches and trunk, weakening the tree and reducing yield and long-term productivity of fruit trees (Taylor, 1957; Wang &amp; Shi, 1999).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can also cause serious damage to grapevines. For example, in the Mission Vineyard of Hawkes Bay grapevines were almost 100% infested in 1996 and two blocks of vines were pulled out in 1998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to remove the infested twigs and branches and then covering the pruning cut surface with a paint containing insecticides are probably the most effective control measures for this pest (Clearwater &amp; Muggleston, 1985). Clearwater &amp; Wouts (1980) injected a suspension of the nematode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Filipjev into frass holes and achieved more than 90% larval mortality, suggesting that this nematode has potential as an effective borer control agent. 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suggest that insecticide sprays may be effective against adults as long as they are in contact with the treatment or feed on treated foliage, but this has not been confirmed in practice. CABI (2020) suggests that destroying the infested plant is probably the only fully effective way of controlling the larvae. In addition, two ichneumonid species [</w:t>
      </w:r>
      <w:r>
        <w:rPr>
          <w:rFonts w:ascii="Calibri" w:hAnsi="Calibri" w:eastAsia="Calibri" w:cs="Calibri"/>
          <w:i/>
          <w:iCs/>
          <w:color w:val="000000"/>
          <w:sz w:val="22"/>
          <w:szCs w:val="22"/>
        </w:rPr>
        <w:t xml:space="preserve">Xanthocryptus novozealandicus </w:t>
      </w:r>
      <w:r>
        <w:rPr>
          <w:rFonts w:ascii="Calibri" w:hAnsi="Calibri" w:eastAsia="Calibri" w:cs="Calibri"/>
          <w:color w:val="000000"/>
          <w:sz w:val="22"/>
          <w:szCs w:val="22"/>
        </w:rPr>
        <w:t xml:space="preserve">(Dalla Torre) and </w:t>
      </w:r>
      <w:r>
        <w:rPr>
          <w:rFonts w:ascii="Calibri" w:hAnsi="Calibri" w:eastAsia="Calibri" w:cs="Calibri"/>
          <w:i/>
          <w:iCs/>
          <w:color w:val="000000"/>
          <w:sz w:val="22"/>
          <w:szCs w:val="22"/>
        </w:rPr>
        <w:t xml:space="preserve">Campoplex </w:t>
      </w:r>
      <w:r>
        <w:rPr>
          <w:rFonts w:ascii="Calibri" w:hAnsi="Calibri" w:eastAsia="Calibri" w:cs="Calibri"/>
          <w:color w:val="000000"/>
          <w:sz w:val="22"/>
          <w:szCs w:val="22"/>
        </w:rPr>
        <w:t xml:space="preserve">sp.] and one braconid species (</w:t>
      </w:r>
      <w:r>
        <w:rPr>
          <w:rFonts w:ascii="Calibri" w:hAnsi="Calibri" w:eastAsia="Calibri" w:cs="Calibri"/>
          <w:i/>
          <w:iCs/>
          <w:color w:val="000000"/>
          <w:sz w:val="22"/>
          <w:szCs w:val="22"/>
        </w:rPr>
        <w:t xml:space="preserve">Apsicolpus hudsoni </w:t>
      </w:r>
      <w:r>
        <w:rPr>
          <w:rFonts w:ascii="Calibri" w:hAnsi="Calibri" w:eastAsia="Calibri" w:cs="Calibri"/>
          <w:color w:val="000000"/>
          <w:sz w:val="22"/>
          <w:szCs w:val="22"/>
        </w:rPr>
        <w:t xml:space="preserve">Turner) are recorded attacking larvae of this beetle, but the parasitism rate is not high enough to achieve meaningful control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0" w:after="0" w:line="240" w:lineRule="auto"/>
        <w:ind w:left="0" w:right="0"/>
        <w:jc w:val="both"/>
      </w:pPr>
      <w:r>
        <w:rPr>
          <w:rFonts w:ascii="Calibri" w:hAnsi="Calibri" w:eastAsia="Calibri" w:cs="Calibri"/>
          <w:color w:val="000000"/>
          <w:sz w:val="22"/>
          <w:szCs w:val="22"/>
        </w:rPr>
        <w:t xml:space="preserve">According to EPPO (2014), large parts of EPPO member countries are climatically suitable for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and have suitable host plants for this borer. However, the pest biology, such as lengthy life cycle, no asexual reproduction, and no evidence of long-range sex pheromone, will not favour rapid buildup of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was added to the EPPO A1 List of pests recommended for regulation as a quarantine pest, and endangered EPPO member countries are thus recommended to regulate it as a quarantine pest. Larvae on plants for planting can survive transport and continue feeding on their host. Inspections of these plants may be performed to look for the presence of larvae, such as excretion holes, frass and galleries at cross-sections, upon the plants’ arrival and during the growing season in nurseries. Infested plants should be destroyed. The larvae have been shown to survive in cut twigs and branches for a couple of months so they may be able to survive in fresh cuttings for the duration of transport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larvae and pupae might survive on unprocessed round wood with bark, no interceptions have been recorded in EPPO member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(lemon tree borer). </w:t>
      </w:r>
      <w:hyperlink r:id="rId7210679bfd69f2d96" w:history="1">
        <w:r>
          <w:rPr>
            <w:rFonts w:ascii="Calibri" w:hAnsi="Calibri" w:eastAsia="Calibri" w:cs="Calibri"/>
            <w:color w:val="0000CC"/>
            <w:sz w:val="22"/>
            <w:szCs w:val="22"/>
            <w:u w:val="single"/>
          </w:rPr>
          <w:t xml:space="preserve">https://www.cabi.org/isc/datasheet/37124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(2014) Revised </w:t>
      </w:r>
      <w:r>
        <w:rPr>
          <w:rFonts w:ascii="Calibri" w:hAnsi="Calibri" w:eastAsia="Calibri" w:cs="Calibri"/>
          <w:i/>
          <w:iCs/>
          <w:color w:val="000000"/>
          <w:sz w:val="22"/>
          <w:szCs w:val="22"/>
        </w:rPr>
        <w:t xml:space="preserve">Pest risk analysis for Oemona hirta</w:t>
      </w:r>
      <w:r>
        <w:rPr>
          <w:rFonts w:ascii="Calibri" w:hAnsi="Calibri" w:eastAsia="Calibri" w:cs="Calibri"/>
          <w:color w:val="000000"/>
          <w:sz w:val="22"/>
          <w:szCs w:val="22"/>
        </w:rPr>
        <w:t xml:space="preserve">. EPPO, Paris. Available at </w:t>
      </w:r>
      <w:hyperlink r:id="rId3266679bfd69f2dea"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(1981) Lemon tree borer, </w:t>
      </w:r>
      <w:r>
        <w:rPr>
          <w:rFonts w:ascii="Calibri" w:hAnsi="Calibri" w:eastAsia="Calibri" w:cs="Calibri"/>
          <w:i/>
          <w:iCs/>
          <w:color w:val="000000"/>
          <w:sz w:val="22"/>
          <w:szCs w:val="22"/>
        </w:rPr>
        <w:t xml:space="preserve">Oemona hirta </w:t>
      </w:r>
      <w:r>
        <w:rPr>
          <w:rFonts w:ascii="Calibri" w:hAnsi="Calibri" w:eastAsia="Calibri" w:cs="Calibri"/>
          <w:color w:val="000000"/>
          <w:sz w:val="22"/>
          <w:szCs w:val="22"/>
        </w:rPr>
        <w:t xml:space="preserve">(Fabricius), life cycle. New Zealand Department of Scientific and Industrial Research Information. Series 105/33.</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Muggleston SJ (1985) Protection of pruning wounds: favoured oviposition sites for the lemon tree borer.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,199–202.</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Wouts WM (1980) Preliminary trials on the control of lemon tree borer with nematodes.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133–135.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(1963) A monograph of the immature stages of Australasian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Dumbleton LJ (1937) Borers in fruit trees.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Lu W &amp; Wang Q (2005) Systematics of the New Zealand longicorn beetle genus </w:t>
      </w:r>
      <w:r>
        <w:rPr>
          <w:rFonts w:ascii="Calibri" w:hAnsi="Calibri" w:eastAsia="Calibri" w:cs="Calibri"/>
          <w:i/>
          <w:iCs/>
          <w:color w:val="000000"/>
          <w:sz w:val="22"/>
          <w:szCs w:val="22"/>
        </w:rPr>
        <w:t xml:space="preserve">Oemona </w:t>
      </w:r>
      <w:r>
        <w:rPr>
          <w:rFonts w:ascii="Calibri" w:hAnsi="Calibri" w:eastAsia="Calibri" w:cs="Calibri"/>
          <w:color w:val="000000"/>
          <w:sz w:val="22"/>
          <w:szCs w:val="22"/>
        </w:rPr>
        <w:t xml:space="preserve">Newman with discussion of the taxonomic position of the Australian species, </w:t>
      </w:r>
      <w:r>
        <w:rPr>
          <w:rFonts w:ascii="Calibri" w:hAnsi="Calibri" w:eastAsia="Calibri" w:cs="Calibri"/>
          <w:i/>
          <w:iCs/>
          <w:color w:val="000000"/>
          <w:sz w:val="22"/>
          <w:szCs w:val="22"/>
        </w:rPr>
        <w:t xml:space="preserve">O. simplex </w:t>
      </w:r>
      <w:r>
        <w:rPr>
          <w:rFonts w:ascii="Calibri" w:hAnsi="Calibri" w:eastAsia="Calibri" w:cs="Calibri"/>
          <w:color w:val="000000"/>
          <w:sz w:val="22"/>
          <w:szCs w:val="22"/>
        </w:rPr>
        <w:t xml:space="preserve">White (Coleoptera: Cerambycidae: Cerambycinae).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971</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 MacLeod A &amp; Eyre D (2010) Plant pest factsheet: lemon tree borer,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York, UK: Food and Environment Research Agency (FERA).3 pp. </w:t>
      </w:r>
      <w:hyperlink r:id="rId7486679bfd69f3042" w:history="1">
        <w:r>
          <w:rPr>
            <w:rFonts w:ascii="Calibri" w:hAnsi="Calibri" w:eastAsia="Calibri" w:cs="Calibri"/>
            <w:color w:val="0000CC"/>
            <w:sz w:val="22"/>
            <w:szCs w:val="22"/>
            <w:u w:val="single"/>
          </w:rPr>
          <w:t xml:space="preserve">https://planthealthportal.defra.gov.uk/assets/factsheets/lemonTreeBorer.pdf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Rohitha BH, Hartley T &amp; Franklin SJ (1992) Lemon tree borer damage on persimmon.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HS (1957) Citrus borer. New Zealand Journal of Agriculture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357-358.</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(2017) Cerambycid pests in agricultural and horticultural crops, pp 409-562.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Q. Wang (ed.) </w:t>
      </w:r>
      <w:r>
        <w:rPr>
          <w:rFonts w:ascii="Calibri" w:hAnsi="Calibri" w:eastAsia="Calibri" w:cs="Calibri"/>
          <w:i/>
          <w:iCs/>
          <w:color w:val="000000"/>
          <w:sz w:val="22"/>
          <w:szCs w:val="22"/>
        </w:rPr>
        <w:t xml:space="preserve">Cerambycidae of the World: Biology and Pest Management.</w:t>
      </w:r>
      <w:r>
        <w:rPr>
          <w:rFonts w:ascii="Calibri" w:hAnsi="Calibri" w:eastAsia="Calibri" w:cs="Calibri"/>
          <w:color w:val="000000"/>
          <w:sz w:val="22"/>
          <w:szCs w:val="22"/>
        </w:rPr>
        <w:t xml:space="preserve"> CRC Press (Taylor &amp; Francis Group),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Davis LK (2005) Mating behavior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(F.) (Coleoptera: Cerambycidae: Cerambycinae) in laboratory conditions.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Shi G (1999) Parasitic natural enemies of lemon tree borer.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60–64.</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Shi G &amp; Davis LK (1998) Reproductive potential and daily reproductive rhythms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1360–1365.</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Davis LK, Rogers DJ, Song DP, Shi G &amp; Chen X (2002) Development, survival, body weight, longevity, and reproductive potential of </w:t>
      </w:r>
      <w:r>
        <w:rPr>
          <w:rFonts w:ascii="Calibri" w:hAnsi="Calibri" w:eastAsia="Calibri" w:cs="Calibri"/>
          <w:i/>
          <w:iCs/>
          <w:color w:val="000000"/>
          <w:sz w:val="22"/>
          <w:szCs w:val="22"/>
        </w:rPr>
        <w:t xml:space="preserve">Oemena hirta</w:t>
      </w:r>
      <w:r>
        <w:rPr>
          <w:rFonts w:ascii="Calibri" w:hAnsi="Calibri" w:eastAsia="Calibri" w:cs="Calibri"/>
          <w:color w:val="000000"/>
          <w:sz w:val="22"/>
          <w:szCs w:val="22"/>
        </w:rPr>
        <w:t xml:space="preserve"> (Coleoptera: Cerambycidae) under different rearing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563–569.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Qiao Wang, School of Agriculture and Environment, Massey University, New Zealand.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EPPO datasheets on pests recommended for regulation. Available online. </w:t>
      </w:r>
      <w:hyperlink r:id="rId1296679bfd69f342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3434766" name="name9478679bfd69f34b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64679bfd69f34b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539289">
    <w:multiLevelType w:val="hybridMultilevel"/>
    <w:lvl w:ilvl="0" w:tplc="72328835">
      <w:start w:val="1"/>
      <w:numFmt w:val="decimal"/>
      <w:lvlText w:val="%1."/>
      <w:lvlJc w:val="left"/>
      <w:pPr>
        <w:ind w:left="720" w:hanging="360"/>
      </w:pPr>
    </w:lvl>
    <w:lvl w:ilvl="1" w:tplc="72328835" w:tentative="1">
      <w:start w:val="1"/>
      <w:numFmt w:val="lowerLetter"/>
      <w:lvlText w:val="%2."/>
      <w:lvlJc w:val="left"/>
      <w:pPr>
        <w:ind w:left="1440" w:hanging="360"/>
      </w:pPr>
    </w:lvl>
    <w:lvl w:ilvl="2" w:tplc="72328835" w:tentative="1">
      <w:start w:val="1"/>
      <w:numFmt w:val="lowerRoman"/>
      <w:lvlText w:val="%3."/>
      <w:lvlJc w:val="right"/>
      <w:pPr>
        <w:ind w:left="2160" w:hanging="180"/>
      </w:pPr>
    </w:lvl>
    <w:lvl w:ilvl="3" w:tplc="72328835" w:tentative="1">
      <w:start w:val="1"/>
      <w:numFmt w:val="decimal"/>
      <w:lvlText w:val="%4."/>
      <w:lvlJc w:val="left"/>
      <w:pPr>
        <w:ind w:left="2880" w:hanging="360"/>
      </w:pPr>
    </w:lvl>
    <w:lvl w:ilvl="4" w:tplc="72328835" w:tentative="1">
      <w:start w:val="1"/>
      <w:numFmt w:val="lowerLetter"/>
      <w:lvlText w:val="%5."/>
      <w:lvlJc w:val="left"/>
      <w:pPr>
        <w:ind w:left="3600" w:hanging="360"/>
      </w:pPr>
    </w:lvl>
    <w:lvl w:ilvl="5" w:tplc="72328835" w:tentative="1">
      <w:start w:val="1"/>
      <w:numFmt w:val="lowerRoman"/>
      <w:lvlText w:val="%6."/>
      <w:lvlJc w:val="right"/>
      <w:pPr>
        <w:ind w:left="4320" w:hanging="180"/>
      </w:pPr>
    </w:lvl>
    <w:lvl w:ilvl="6" w:tplc="72328835" w:tentative="1">
      <w:start w:val="1"/>
      <w:numFmt w:val="decimal"/>
      <w:lvlText w:val="%7."/>
      <w:lvlJc w:val="left"/>
      <w:pPr>
        <w:ind w:left="5040" w:hanging="360"/>
      </w:pPr>
    </w:lvl>
    <w:lvl w:ilvl="7" w:tplc="72328835" w:tentative="1">
      <w:start w:val="1"/>
      <w:numFmt w:val="lowerLetter"/>
      <w:lvlText w:val="%8."/>
      <w:lvlJc w:val="left"/>
      <w:pPr>
        <w:ind w:left="5760" w:hanging="360"/>
      </w:pPr>
    </w:lvl>
    <w:lvl w:ilvl="8" w:tplc="72328835" w:tentative="1">
      <w:start w:val="1"/>
      <w:numFmt w:val="lowerRoman"/>
      <w:lvlText w:val="%9."/>
      <w:lvlJc w:val="right"/>
      <w:pPr>
        <w:ind w:left="6480" w:hanging="180"/>
      </w:pPr>
    </w:lvl>
  </w:abstractNum>
  <w:abstractNum w:abstractNumId="33539288">
    <w:multiLevelType w:val="hybridMultilevel"/>
    <w:lvl w:ilvl="0" w:tplc="639459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539288">
    <w:abstractNumId w:val="33539288"/>
  </w:num>
  <w:num w:numId="33539289">
    <w:abstractNumId w:val="335392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4940396" Type="http://schemas.microsoft.com/office/2011/relationships/commentsExtended" Target="commentsExtended.xml"/><Relationship Id="rId927442233" Type="http://schemas.microsoft.com/office/2011/relationships/people" Target="people.xml"/><Relationship Id="rId3362679bfd69ef42a" Type="http://schemas.openxmlformats.org/officeDocument/2006/relationships/hyperlink" Target="https://gd.eppo.int/taxon/OEMOHI/" TargetMode="External"/><Relationship Id="rId7467679bfd69ef492" Type="http://schemas.openxmlformats.org/officeDocument/2006/relationships/hyperlink" Target="https://gd.eppo.int/taxon/OEMOHI/categorization" TargetMode="External"/><Relationship Id="rId6789679bfd69efbc7" Type="http://schemas.openxmlformats.org/officeDocument/2006/relationships/hyperlink" Target="https://gd.eppo.int/taxon/OEMOHI/photos" TargetMode="External"/><Relationship Id="rId7210679bfd69f2d96" Type="http://schemas.openxmlformats.org/officeDocument/2006/relationships/hyperlink" Target="https://www.cabi.org/isc/datasheet/37124" TargetMode="External"/><Relationship Id="rId3266679bfd69f2dea" Type="http://schemas.openxmlformats.org/officeDocument/2006/relationships/hyperlink" Target="http://www.eppo.int/QUARANTINE/Pest_Risk_Analysis/PRA_intro.htm" TargetMode="External"/><Relationship Id="rId7486679bfd69f3042" Type="http://schemas.openxmlformats.org/officeDocument/2006/relationships/hyperlink" Target="https://planthealthportal.defra.gov.uk/assets/factsheets/lemonTreeBorer.pdf" TargetMode="External"/><Relationship Id="rId1296679bfd69f3428" Type="http://schemas.openxmlformats.org/officeDocument/2006/relationships/hyperlink" Target="https://gd.eppo.int" TargetMode="External"/><Relationship Id="rId5716679bfd69efae2" Type="http://schemas.openxmlformats.org/officeDocument/2006/relationships/image" Target="media/imgrId5716679bfd69efae2.jpg"/><Relationship Id="rId3917679bfd69f2521" Type="http://schemas.openxmlformats.org/officeDocument/2006/relationships/image" Target="media/imgrId3917679bfd69f2521.jpg"/><Relationship Id="rId2964679bfd69f34bc" Type="http://schemas.openxmlformats.org/officeDocument/2006/relationships/image" Target="media/imgrId2964679bfd69f34b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